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3969"/>
        <w:gridCol w:w="5671"/>
      </w:tblGrid>
      <w:tr w:rsidR="00976CA8" w:rsidRPr="00676D79" w14:paraId="4A3A2405" w14:textId="77777777" w:rsidTr="007E0555">
        <w:tc>
          <w:tcPr>
            <w:tcW w:w="3969" w:type="dxa"/>
          </w:tcPr>
          <w:p w14:paraId="5BDD7318" w14:textId="77777777" w:rsidR="00976CA8" w:rsidRPr="00676D79" w:rsidRDefault="00090EEA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="00976CA8" w:rsidRPr="00676D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59953762" w14:textId="77777777" w:rsidR="00976CA8" w:rsidRPr="00676D79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14:paraId="4C7A985F" w14:textId="77777777" w:rsidR="00090EEA" w:rsidRPr="00676D79" w:rsidRDefault="00BD130A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w:pict w14:anchorId="214AA0FE">
                <v:line id="_x0000_s1027" style="position:absolute;left:0;text-align:left;z-index:251658240" from="57.5pt,6.05pt" to="129.5pt,6.05pt"/>
              </w:pict>
            </w:r>
          </w:p>
          <w:p w14:paraId="16345253" w14:textId="2A09FB17" w:rsidR="00976CA8" w:rsidRPr="00676D79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7B2204" w:rsidRPr="00676D7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90847" w:rsidRPr="00676D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     </w:t>
            </w:r>
            <w:r w:rsidR="009E6279" w:rsidRPr="00676D79">
              <w:rPr>
                <w:rFonts w:ascii="Times New Roman" w:hAnsi="Times New Roman" w:cs="Times New Roman"/>
                <w:sz w:val="26"/>
                <w:szCs w:val="26"/>
              </w:rPr>
              <w:t>/TTr-HĐQT</w:t>
            </w:r>
          </w:p>
        </w:tc>
        <w:tc>
          <w:tcPr>
            <w:tcW w:w="5671" w:type="dxa"/>
          </w:tcPr>
          <w:p w14:paraId="7046FD83" w14:textId="77777777" w:rsidR="00976CA8" w:rsidRPr="00676D79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E786FBE" w14:textId="77777777" w:rsidR="00976CA8" w:rsidRPr="00676D79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1D63AE42" w14:textId="77777777" w:rsidR="00976CA8" w:rsidRPr="00676D79" w:rsidRDefault="00BD130A" w:rsidP="00287EDC">
            <w:pPr>
              <w:autoSpaceDE w:val="0"/>
              <w:autoSpaceDN w:val="0"/>
              <w:adjustRightInd w:val="0"/>
              <w:spacing w:after="0"/>
              <w:ind w:left="-8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pict w14:anchorId="470EFF06">
                <v:line id="_x0000_s1026" style="position:absolute;left:0;text-align:left;z-index:251657216" from="53.85pt,6.05pt" to="214.6pt,6.05pt"/>
              </w:pict>
            </w:r>
            <w:r w:rsidR="00976CA8"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14:paraId="1420D28D" w14:textId="0A42DA28" w:rsidR="00976CA8" w:rsidRPr="00676D79" w:rsidRDefault="00A521E6" w:rsidP="00062D88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 Dương, ngày</w:t>
            </w:r>
            <w:r w:rsidR="00352BCA"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</w:t>
            </w:r>
            <w:r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990847"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 </w:t>
            </w:r>
            <w:r w:rsidR="00976CA8"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r w:rsidR="00B00A83"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 w:rsidR="00990847"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3 </w:t>
            </w:r>
            <w:r w:rsidR="00976CA8"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năm </w:t>
            </w:r>
            <w:r w:rsidR="00990847"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2021</w:t>
            </w:r>
          </w:p>
        </w:tc>
      </w:tr>
    </w:tbl>
    <w:p w14:paraId="3384A185" w14:textId="77777777" w:rsidR="00976CA8" w:rsidRPr="00676D79" w:rsidRDefault="00976CA8" w:rsidP="00976C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ab/>
      </w:r>
      <w:r w:rsidRPr="00676D79">
        <w:rPr>
          <w:rFonts w:ascii="Times New Roman" w:hAnsi="Times New Roman" w:cs="Times New Roman"/>
          <w:sz w:val="26"/>
          <w:szCs w:val="26"/>
        </w:rPr>
        <w:tab/>
      </w:r>
      <w:r w:rsidRPr="00676D79">
        <w:rPr>
          <w:rFonts w:ascii="Times New Roman" w:hAnsi="Times New Roman" w:cs="Times New Roman"/>
          <w:sz w:val="26"/>
          <w:szCs w:val="26"/>
        </w:rPr>
        <w:tab/>
      </w:r>
    </w:p>
    <w:p w14:paraId="02352CA8" w14:textId="77777777" w:rsidR="00976CA8" w:rsidRPr="00676D79" w:rsidRDefault="00976CA8" w:rsidP="00976CA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76D79">
        <w:rPr>
          <w:rFonts w:ascii="Times New Roman" w:hAnsi="Times New Roman" w:cs="Times New Roman"/>
          <w:b/>
          <w:sz w:val="26"/>
          <w:szCs w:val="26"/>
        </w:rPr>
        <w:t>TỜ TRÌNH</w:t>
      </w:r>
    </w:p>
    <w:p w14:paraId="4CFEEB7E" w14:textId="3087D462" w:rsidR="004E57D8" w:rsidRPr="00676D79" w:rsidRDefault="004E57D8" w:rsidP="0065314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D79">
        <w:rPr>
          <w:rFonts w:ascii="Times New Roman" w:hAnsi="Times New Roman" w:cs="Times New Roman"/>
          <w:b/>
          <w:sz w:val="26"/>
          <w:szCs w:val="26"/>
        </w:rPr>
        <w:t xml:space="preserve">V/v </w:t>
      </w:r>
      <w:r w:rsidR="0017628F" w:rsidRPr="00676D79">
        <w:rPr>
          <w:rFonts w:ascii="Times New Roman" w:hAnsi="Times New Roman" w:cs="Times New Roman"/>
          <w:b/>
          <w:sz w:val="26"/>
          <w:szCs w:val="26"/>
        </w:rPr>
        <w:t xml:space="preserve">phân phối lợi nhuận </w:t>
      </w:r>
      <w:r w:rsidR="00990847" w:rsidRPr="00676D79">
        <w:rPr>
          <w:rFonts w:ascii="Times New Roman" w:hAnsi="Times New Roman" w:cs="Times New Roman"/>
          <w:b/>
          <w:sz w:val="26"/>
          <w:szCs w:val="26"/>
        </w:rPr>
        <w:t>2020</w:t>
      </w:r>
      <w:r w:rsidR="0017628F" w:rsidRPr="00676D79">
        <w:rPr>
          <w:rFonts w:ascii="Times New Roman" w:hAnsi="Times New Roman" w:cs="Times New Roman"/>
          <w:b/>
          <w:sz w:val="26"/>
          <w:szCs w:val="26"/>
        </w:rPr>
        <w:t xml:space="preserve"> và kế hoạch phân phối lợi nhuận </w:t>
      </w:r>
      <w:r w:rsidR="00990847" w:rsidRPr="00676D79">
        <w:rPr>
          <w:rFonts w:ascii="Times New Roman" w:hAnsi="Times New Roman" w:cs="Times New Roman"/>
          <w:b/>
          <w:sz w:val="26"/>
          <w:szCs w:val="26"/>
        </w:rPr>
        <w:t>2021</w:t>
      </w:r>
    </w:p>
    <w:p w14:paraId="6A9D1F09" w14:textId="77777777" w:rsidR="004E57D8" w:rsidRPr="00676D79" w:rsidRDefault="004E57D8" w:rsidP="006531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ab/>
      </w:r>
    </w:p>
    <w:p w14:paraId="28BC7A15" w14:textId="45780176" w:rsidR="00976CA8" w:rsidRPr="00676D79" w:rsidRDefault="00976CA8" w:rsidP="0065314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 xml:space="preserve">Kính gửi: Đại hội đồng cổ đông </w:t>
      </w:r>
      <w:r w:rsidR="00090EEA" w:rsidRPr="00676D79">
        <w:rPr>
          <w:rFonts w:ascii="Times New Roman" w:hAnsi="Times New Roman" w:cs="Times New Roman"/>
          <w:sz w:val="26"/>
          <w:szCs w:val="26"/>
        </w:rPr>
        <w:t xml:space="preserve">thường niên </w:t>
      </w:r>
      <w:r w:rsidR="009E6279" w:rsidRPr="00676D79">
        <w:rPr>
          <w:rFonts w:ascii="Times New Roman" w:hAnsi="Times New Roman" w:cs="Times New Roman"/>
          <w:sz w:val="26"/>
          <w:szCs w:val="26"/>
        </w:rPr>
        <w:t xml:space="preserve">năm </w:t>
      </w:r>
      <w:r w:rsidR="00990847" w:rsidRPr="00676D79">
        <w:rPr>
          <w:rFonts w:ascii="Times New Roman" w:hAnsi="Times New Roman" w:cs="Times New Roman"/>
          <w:sz w:val="26"/>
          <w:szCs w:val="26"/>
        </w:rPr>
        <w:t>2021</w:t>
      </w:r>
      <w:r w:rsidRPr="00676D79">
        <w:rPr>
          <w:rFonts w:ascii="Times New Roman" w:hAnsi="Times New Roman" w:cs="Times New Roman"/>
          <w:sz w:val="26"/>
          <w:szCs w:val="26"/>
        </w:rPr>
        <w:t>.</w:t>
      </w:r>
    </w:p>
    <w:p w14:paraId="61A43AFD" w14:textId="77777777" w:rsidR="00976CA8" w:rsidRPr="00676D79" w:rsidRDefault="00976CA8" w:rsidP="00252C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77E10F" w14:textId="2F474029" w:rsidR="00976CA8" w:rsidRPr="00BE5B0B" w:rsidRDefault="00976CA8" w:rsidP="0065314F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E5B0B">
        <w:rPr>
          <w:rFonts w:ascii="Times New Roman" w:hAnsi="Times New Roman" w:cs="Times New Roman"/>
          <w:sz w:val="26"/>
          <w:szCs w:val="26"/>
        </w:rPr>
        <w:t xml:space="preserve">Căn cứ Luật doanh nghiệp số </w:t>
      </w:r>
      <w:r w:rsidR="00BE5B0B" w:rsidRPr="00BE5B0B">
        <w:rPr>
          <w:rFonts w:ascii="Times New Roman" w:hAnsi="Times New Roman" w:cs="Times New Roman"/>
          <w:sz w:val="26"/>
          <w:szCs w:val="26"/>
        </w:rPr>
        <w:t>59/2020/QH14</w:t>
      </w:r>
      <w:r w:rsidRPr="00BE5B0B">
        <w:rPr>
          <w:rFonts w:ascii="Times New Roman" w:hAnsi="Times New Roman" w:cs="Times New Roman"/>
          <w:sz w:val="26"/>
          <w:szCs w:val="26"/>
        </w:rPr>
        <w:t>;</w:t>
      </w:r>
    </w:p>
    <w:p w14:paraId="360204E5" w14:textId="77777777" w:rsidR="009E6279" w:rsidRPr="00676D79" w:rsidRDefault="009E6279" w:rsidP="0065314F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>Căn cứ Điều lệ Công ty Cổ phần Nông lâm nghiệp Bình Dương ngày 28/7/</w:t>
      </w:r>
      <w:r w:rsidR="0038633E" w:rsidRPr="00676D79">
        <w:rPr>
          <w:rFonts w:ascii="Times New Roman" w:hAnsi="Times New Roman" w:cs="Times New Roman"/>
          <w:sz w:val="26"/>
          <w:szCs w:val="26"/>
        </w:rPr>
        <w:t>2016</w:t>
      </w:r>
      <w:r w:rsidRPr="00676D79">
        <w:rPr>
          <w:rFonts w:ascii="Times New Roman" w:hAnsi="Times New Roman" w:cs="Times New Roman"/>
          <w:sz w:val="26"/>
          <w:szCs w:val="26"/>
        </w:rPr>
        <w:t>;</w:t>
      </w:r>
    </w:p>
    <w:p w14:paraId="06829631" w14:textId="7D4C5503" w:rsidR="00976CA8" w:rsidRPr="00676D79" w:rsidRDefault="00976CA8" w:rsidP="0065314F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 xml:space="preserve">Căn cứ </w:t>
      </w:r>
      <w:r w:rsidR="009E6279" w:rsidRPr="00676D79">
        <w:rPr>
          <w:rFonts w:ascii="Times New Roman" w:hAnsi="Times New Roman" w:cs="Times New Roman"/>
          <w:sz w:val="26"/>
          <w:szCs w:val="26"/>
        </w:rPr>
        <w:t xml:space="preserve">báo cáo tài chính năm </w:t>
      </w:r>
      <w:r w:rsidR="00990847" w:rsidRPr="00676D79">
        <w:rPr>
          <w:rFonts w:ascii="Times New Roman" w:hAnsi="Times New Roman" w:cs="Times New Roman"/>
          <w:sz w:val="26"/>
          <w:szCs w:val="26"/>
        </w:rPr>
        <w:t>2020</w:t>
      </w:r>
      <w:r w:rsidR="009E6279" w:rsidRPr="00676D79">
        <w:rPr>
          <w:rFonts w:ascii="Times New Roman" w:hAnsi="Times New Roman" w:cs="Times New Roman"/>
          <w:sz w:val="26"/>
          <w:szCs w:val="26"/>
        </w:rPr>
        <w:t xml:space="preserve"> của </w:t>
      </w:r>
      <w:r w:rsidRPr="00676D79">
        <w:rPr>
          <w:rFonts w:ascii="Times New Roman" w:hAnsi="Times New Roman" w:cs="Times New Roman"/>
          <w:sz w:val="26"/>
          <w:szCs w:val="26"/>
        </w:rPr>
        <w:t xml:space="preserve">Công ty </w:t>
      </w:r>
      <w:r w:rsidR="009E6279" w:rsidRPr="00676D79">
        <w:rPr>
          <w:rFonts w:ascii="Times New Roman" w:hAnsi="Times New Roman" w:cs="Times New Roman"/>
          <w:sz w:val="26"/>
          <w:szCs w:val="26"/>
        </w:rPr>
        <w:t>Cổ phần Nông lâm</w:t>
      </w:r>
      <w:r w:rsidRPr="00676D79">
        <w:rPr>
          <w:rFonts w:ascii="Times New Roman" w:hAnsi="Times New Roman" w:cs="Times New Roman"/>
          <w:sz w:val="26"/>
          <w:szCs w:val="26"/>
        </w:rPr>
        <w:t xml:space="preserve"> </w:t>
      </w:r>
      <w:r w:rsidR="009E6279" w:rsidRPr="00676D79">
        <w:rPr>
          <w:rFonts w:ascii="Times New Roman" w:hAnsi="Times New Roman" w:cs="Times New Roman"/>
          <w:sz w:val="26"/>
          <w:szCs w:val="26"/>
        </w:rPr>
        <w:t>n</w:t>
      </w:r>
      <w:r w:rsidRPr="00676D79">
        <w:rPr>
          <w:rFonts w:ascii="Times New Roman" w:hAnsi="Times New Roman" w:cs="Times New Roman"/>
          <w:sz w:val="26"/>
          <w:szCs w:val="26"/>
        </w:rPr>
        <w:t>ghiệp Bình Dương</w:t>
      </w:r>
      <w:r w:rsidR="009E6279" w:rsidRPr="00676D79">
        <w:rPr>
          <w:rFonts w:ascii="Times New Roman" w:hAnsi="Times New Roman" w:cs="Times New Roman"/>
          <w:sz w:val="26"/>
          <w:szCs w:val="26"/>
        </w:rPr>
        <w:t xml:space="preserve"> đã được Công ty TNHH Kiểm toán Sao Việt kiểm toán.</w:t>
      </w:r>
    </w:p>
    <w:p w14:paraId="5AC896D6" w14:textId="43AEFF82" w:rsidR="009E6279" w:rsidRPr="00676D79" w:rsidRDefault="009E6279" w:rsidP="0065314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>Hội đồng Quản trị</w:t>
      </w:r>
      <w:r w:rsidR="004E57D8" w:rsidRPr="00676D79">
        <w:rPr>
          <w:rFonts w:ascii="Times New Roman" w:hAnsi="Times New Roman" w:cs="Times New Roman"/>
          <w:sz w:val="26"/>
          <w:szCs w:val="26"/>
        </w:rPr>
        <w:t xml:space="preserve"> công ty </w:t>
      </w:r>
      <w:r w:rsidRPr="00676D79">
        <w:rPr>
          <w:rFonts w:ascii="Times New Roman" w:hAnsi="Times New Roman" w:cs="Times New Roman"/>
          <w:sz w:val="26"/>
          <w:szCs w:val="26"/>
        </w:rPr>
        <w:t xml:space="preserve">xin trân trọng đề nghị </w:t>
      </w:r>
      <w:r w:rsidR="004E57D8" w:rsidRPr="00676D79">
        <w:rPr>
          <w:rFonts w:ascii="Times New Roman" w:hAnsi="Times New Roman" w:cs="Times New Roman"/>
          <w:sz w:val="26"/>
          <w:szCs w:val="26"/>
        </w:rPr>
        <w:t>Đại hội đồng cổ đông</w:t>
      </w:r>
      <w:r w:rsidRPr="00676D79">
        <w:rPr>
          <w:rFonts w:ascii="Times New Roman" w:hAnsi="Times New Roman" w:cs="Times New Roman"/>
          <w:sz w:val="26"/>
          <w:szCs w:val="26"/>
        </w:rPr>
        <w:t xml:space="preserve"> thường niên năm </w:t>
      </w:r>
      <w:r w:rsidR="00990847" w:rsidRPr="00676D79">
        <w:rPr>
          <w:rFonts w:ascii="Times New Roman" w:hAnsi="Times New Roman" w:cs="Times New Roman"/>
          <w:sz w:val="26"/>
          <w:szCs w:val="26"/>
        </w:rPr>
        <w:t>2021</w:t>
      </w:r>
      <w:r w:rsidRPr="00676D79">
        <w:rPr>
          <w:rFonts w:ascii="Times New Roman" w:hAnsi="Times New Roman" w:cs="Times New Roman"/>
          <w:sz w:val="26"/>
          <w:szCs w:val="26"/>
        </w:rPr>
        <w:t xml:space="preserve"> xem xét thông qua </w:t>
      </w:r>
      <w:r w:rsidR="0017628F" w:rsidRPr="00676D79">
        <w:rPr>
          <w:rFonts w:ascii="Times New Roman" w:hAnsi="Times New Roman" w:cs="Times New Roman"/>
          <w:sz w:val="26"/>
          <w:szCs w:val="26"/>
        </w:rPr>
        <w:t xml:space="preserve">phân phối lợi nhuận năm </w:t>
      </w:r>
      <w:r w:rsidR="00990847" w:rsidRPr="00676D79">
        <w:rPr>
          <w:rFonts w:ascii="Times New Roman" w:hAnsi="Times New Roman" w:cs="Times New Roman"/>
          <w:sz w:val="26"/>
          <w:szCs w:val="26"/>
        </w:rPr>
        <w:t>2020</w:t>
      </w:r>
      <w:r w:rsidR="0017628F" w:rsidRPr="00676D79">
        <w:rPr>
          <w:rFonts w:ascii="Times New Roman" w:hAnsi="Times New Roman" w:cs="Times New Roman"/>
          <w:sz w:val="26"/>
          <w:szCs w:val="26"/>
        </w:rPr>
        <w:t xml:space="preserve"> và kế hoạch phân phối lợi nhuận năm </w:t>
      </w:r>
      <w:r w:rsidR="00990847" w:rsidRPr="00676D79">
        <w:rPr>
          <w:rFonts w:ascii="Times New Roman" w:hAnsi="Times New Roman" w:cs="Times New Roman"/>
          <w:sz w:val="26"/>
          <w:szCs w:val="26"/>
        </w:rPr>
        <w:t>2021</w:t>
      </w:r>
      <w:r w:rsidR="00CD27BA" w:rsidRPr="00676D79">
        <w:rPr>
          <w:rFonts w:ascii="Times New Roman" w:hAnsi="Times New Roman" w:cs="Times New Roman"/>
          <w:sz w:val="26"/>
          <w:szCs w:val="26"/>
        </w:rPr>
        <w:t>:</w:t>
      </w:r>
    </w:p>
    <w:p w14:paraId="71639ED4" w14:textId="59B979FC" w:rsidR="00CD27BA" w:rsidRPr="00676D79" w:rsidRDefault="00CD27BA" w:rsidP="00410E7D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 xml:space="preserve">Phương án phân phối lợi nhuận năm </w:t>
      </w:r>
      <w:r w:rsidR="00990847" w:rsidRPr="00676D79">
        <w:rPr>
          <w:rFonts w:ascii="Times New Roman" w:hAnsi="Times New Roman" w:cs="Times New Roman"/>
          <w:sz w:val="26"/>
          <w:szCs w:val="26"/>
        </w:rPr>
        <w:t>2020</w:t>
      </w:r>
      <w:r w:rsidRPr="00676D7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0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746"/>
        <w:gridCol w:w="814"/>
        <w:gridCol w:w="1916"/>
      </w:tblGrid>
      <w:tr w:rsidR="00410E7D" w:rsidRPr="00676D79" w14:paraId="7C2400B7" w14:textId="77777777" w:rsidTr="00DE53CA">
        <w:tc>
          <w:tcPr>
            <w:tcW w:w="567" w:type="dxa"/>
          </w:tcPr>
          <w:p w14:paraId="1DB5E4F2" w14:textId="77777777" w:rsidR="00410E7D" w:rsidRPr="00676D79" w:rsidRDefault="00410E7D" w:rsidP="006358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962" w:type="dxa"/>
          </w:tcPr>
          <w:p w14:paraId="661CD0EF" w14:textId="77777777" w:rsidR="00410E7D" w:rsidRPr="00676D79" w:rsidRDefault="00410E7D" w:rsidP="006358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746" w:type="dxa"/>
          </w:tcPr>
          <w:p w14:paraId="7A88436D" w14:textId="77777777" w:rsidR="00410E7D" w:rsidRPr="00676D79" w:rsidRDefault="00410E7D" w:rsidP="006358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Đvt</w:t>
            </w:r>
          </w:p>
        </w:tc>
        <w:tc>
          <w:tcPr>
            <w:tcW w:w="814" w:type="dxa"/>
          </w:tcPr>
          <w:p w14:paraId="588FAE4C" w14:textId="77777777" w:rsidR="00410E7D" w:rsidRPr="00676D79" w:rsidRDefault="00410E7D" w:rsidP="006358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Tỷ lệ </w:t>
            </w:r>
          </w:p>
          <w:p w14:paraId="7CACB883" w14:textId="3A4C5A4C" w:rsidR="00410E7D" w:rsidRPr="00676D79" w:rsidRDefault="00252C52" w:rsidP="006358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410E7D"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rích</w:t>
            </w: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10E7D"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r w:rsidR="009C0DFD"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C0DFD" w:rsidRPr="00676D79">
              <w:rPr>
                <w:rFonts w:ascii="Times New Roman" w:hAnsi="Times New Roman" w:cs="Times New Roman"/>
                <w:bCs/>
                <w:sz w:val="26"/>
                <w:szCs w:val="26"/>
              </w:rPr>
              <w:t>(%)</w:t>
            </w:r>
          </w:p>
        </w:tc>
        <w:tc>
          <w:tcPr>
            <w:tcW w:w="1916" w:type="dxa"/>
          </w:tcPr>
          <w:p w14:paraId="092F718E" w14:textId="77777777" w:rsidR="00410E7D" w:rsidRPr="00676D79" w:rsidRDefault="00410E7D" w:rsidP="006358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Mức trích</w:t>
            </w:r>
          </w:p>
        </w:tc>
      </w:tr>
      <w:tr w:rsidR="00990847" w:rsidRPr="00676D79" w14:paraId="644342AB" w14:textId="77777777" w:rsidTr="00DE53CA">
        <w:tc>
          <w:tcPr>
            <w:tcW w:w="567" w:type="dxa"/>
          </w:tcPr>
          <w:p w14:paraId="0C3C6C29" w14:textId="0CFCEFCA" w:rsidR="00990847" w:rsidRPr="00676D79" w:rsidRDefault="00990847" w:rsidP="00352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vAlign w:val="center"/>
          </w:tcPr>
          <w:p w14:paraId="050E2828" w14:textId="18BEBE74" w:rsidR="00990847" w:rsidRPr="00676D79" w:rsidRDefault="00990847" w:rsidP="00352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Lợi nhuận trước thuế</w:t>
            </w:r>
          </w:p>
        </w:tc>
        <w:tc>
          <w:tcPr>
            <w:tcW w:w="746" w:type="dxa"/>
            <w:vAlign w:val="center"/>
          </w:tcPr>
          <w:p w14:paraId="0B27300C" w14:textId="6F0B24A0" w:rsidR="00990847" w:rsidRPr="00676D79" w:rsidRDefault="00990847" w:rsidP="00352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14" w:type="dxa"/>
            <w:vAlign w:val="center"/>
          </w:tcPr>
          <w:p w14:paraId="796AE198" w14:textId="77777777" w:rsidR="00990847" w:rsidRPr="00676D79" w:rsidRDefault="00990847" w:rsidP="00352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  <w:vAlign w:val="center"/>
          </w:tcPr>
          <w:p w14:paraId="145D8EFD" w14:textId="60EB66FA" w:rsidR="00990847" w:rsidRPr="00676D79" w:rsidRDefault="0095079D" w:rsidP="00352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15.351.954.550</w:t>
            </w:r>
          </w:p>
        </w:tc>
      </w:tr>
      <w:tr w:rsidR="00990847" w:rsidRPr="00676D79" w14:paraId="3B1E7C4B" w14:textId="77777777" w:rsidTr="00DE53CA">
        <w:tc>
          <w:tcPr>
            <w:tcW w:w="567" w:type="dxa"/>
          </w:tcPr>
          <w:p w14:paraId="03619442" w14:textId="7C30763A" w:rsidR="00990847" w:rsidRPr="00676D79" w:rsidRDefault="00990847" w:rsidP="00873F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  <w:vAlign w:val="center"/>
          </w:tcPr>
          <w:p w14:paraId="51815E4D" w14:textId="619FCE26" w:rsidR="00BB10F8" w:rsidRPr="00BD130A" w:rsidRDefault="00990847" w:rsidP="00BD13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Lợi nhuận sau thuế</w:t>
            </w:r>
          </w:p>
        </w:tc>
        <w:tc>
          <w:tcPr>
            <w:tcW w:w="746" w:type="dxa"/>
          </w:tcPr>
          <w:p w14:paraId="6B0B7DE5" w14:textId="4F5B6FFD" w:rsidR="00990847" w:rsidRPr="00676D79" w:rsidRDefault="00990847" w:rsidP="00352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14" w:type="dxa"/>
          </w:tcPr>
          <w:p w14:paraId="32E9B6CC" w14:textId="77777777" w:rsidR="00990847" w:rsidRPr="00676D79" w:rsidRDefault="00990847" w:rsidP="00352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4B168CA5" w14:textId="095CD737" w:rsidR="00A4037C" w:rsidRPr="00676D79" w:rsidRDefault="0095079D" w:rsidP="00BD130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13.288.638.640</w:t>
            </w:r>
            <w:bookmarkStart w:id="0" w:name="_GoBack"/>
            <w:bookmarkEnd w:id="0"/>
          </w:p>
        </w:tc>
      </w:tr>
      <w:tr w:rsidR="00990847" w:rsidRPr="00676D79" w14:paraId="58591655" w14:textId="77777777" w:rsidTr="00DE53CA">
        <w:tc>
          <w:tcPr>
            <w:tcW w:w="567" w:type="dxa"/>
          </w:tcPr>
          <w:p w14:paraId="1B9327BC" w14:textId="4A6EEC0A" w:rsidR="00990847" w:rsidRPr="00676D79" w:rsidRDefault="00990847" w:rsidP="00352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  <w:vAlign w:val="center"/>
          </w:tcPr>
          <w:p w14:paraId="77680CA5" w14:textId="7ACA4A05" w:rsidR="00990847" w:rsidRPr="00676D79" w:rsidRDefault="00990847" w:rsidP="00352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Trích lập quỹ:</w:t>
            </w:r>
          </w:p>
        </w:tc>
        <w:tc>
          <w:tcPr>
            <w:tcW w:w="746" w:type="dxa"/>
            <w:vAlign w:val="center"/>
          </w:tcPr>
          <w:p w14:paraId="6DB9FC5E" w14:textId="77777777" w:rsidR="00990847" w:rsidRPr="00676D79" w:rsidRDefault="00990847" w:rsidP="00352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vAlign w:val="center"/>
          </w:tcPr>
          <w:p w14:paraId="131387AE" w14:textId="77777777" w:rsidR="00990847" w:rsidRPr="00676D79" w:rsidRDefault="00990847" w:rsidP="00352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  <w:vAlign w:val="center"/>
          </w:tcPr>
          <w:p w14:paraId="6F48D67B" w14:textId="77777777" w:rsidR="00990847" w:rsidRPr="00676D79" w:rsidRDefault="00990847" w:rsidP="00352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847" w:rsidRPr="00676D79" w14:paraId="56EF1224" w14:textId="77777777" w:rsidTr="00DE53CA">
        <w:tc>
          <w:tcPr>
            <w:tcW w:w="567" w:type="dxa"/>
          </w:tcPr>
          <w:p w14:paraId="6CBA9936" w14:textId="1FC9E788" w:rsidR="00EC7D73" w:rsidRPr="00676D79" w:rsidRDefault="00EC7D73" w:rsidP="00352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14:paraId="4D94A0C1" w14:textId="720ADFAA" w:rsidR="00990847" w:rsidRPr="00676D79" w:rsidRDefault="00990847" w:rsidP="00352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Quỹ đầu tư phát triển</w:t>
            </w:r>
          </w:p>
        </w:tc>
        <w:tc>
          <w:tcPr>
            <w:tcW w:w="746" w:type="dxa"/>
            <w:vAlign w:val="center"/>
          </w:tcPr>
          <w:p w14:paraId="59E7FAEE" w14:textId="1C348A65" w:rsidR="00990847" w:rsidRPr="00676D79" w:rsidRDefault="00990847" w:rsidP="00352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14" w:type="dxa"/>
            <w:vAlign w:val="center"/>
          </w:tcPr>
          <w:p w14:paraId="33926F1A" w14:textId="5B39DEE8" w:rsidR="00990847" w:rsidRPr="00676D79" w:rsidRDefault="0095079D" w:rsidP="00352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91,9</w:t>
            </w:r>
          </w:p>
        </w:tc>
        <w:tc>
          <w:tcPr>
            <w:tcW w:w="1916" w:type="dxa"/>
            <w:vAlign w:val="center"/>
          </w:tcPr>
          <w:p w14:paraId="13BD0ED7" w14:textId="3F5EEDE3" w:rsidR="00990847" w:rsidRPr="00676D79" w:rsidRDefault="0000229D" w:rsidP="00352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12.210.965.143</w:t>
            </w:r>
          </w:p>
        </w:tc>
      </w:tr>
      <w:tr w:rsidR="00990847" w:rsidRPr="00676D79" w14:paraId="29C62202" w14:textId="77777777" w:rsidTr="00DE53CA">
        <w:tc>
          <w:tcPr>
            <w:tcW w:w="567" w:type="dxa"/>
          </w:tcPr>
          <w:p w14:paraId="2C97C639" w14:textId="1FC4008F" w:rsidR="00990847" w:rsidRPr="00676D79" w:rsidRDefault="00990847" w:rsidP="00352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14:paraId="559C35B3" w14:textId="2A65B776" w:rsidR="00990847" w:rsidRPr="00676D79" w:rsidRDefault="00990847" w:rsidP="00352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 xml:space="preserve">Quỹ khen thưởng phúc lợi (trích </w:t>
            </w:r>
            <w:r w:rsidR="00A46447" w:rsidRPr="00676D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 xml:space="preserve"> tháng lương)</w:t>
            </w:r>
          </w:p>
        </w:tc>
        <w:tc>
          <w:tcPr>
            <w:tcW w:w="746" w:type="dxa"/>
            <w:vAlign w:val="center"/>
          </w:tcPr>
          <w:p w14:paraId="64C4E852" w14:textId="54DDAADD" w:rsidR="00990847" w:rsidRPr="00676D79" w:rsidRDefault="00990847" w:rsidP="00352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14" w:type="dxa"/>
            <w:vAlign w:val="center"/>
          </w:tcPr>
          <w:p w14:paraId="711178E3" w14:textId="4565AC27" w:rsidR="00990847" w:rsidRPr="00676D79" w:rsidRDefault="0095079D" w:rsidP="00352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1916" w:type="dxa"/>
            <w:vAlign w:val="center"/>
          </w:tcPr>
          <w:p w14:paraId="46579A45" w14:textId="4C7AECF5" w:rsidR="00990847" w:rsidRPr="00676D79" w:rsidRDefault="0095079D" w:rsidP="00352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638.628.497</w:t>
            </w:r>
          </w:p>
        </w:tc>
      </w:tr>
      <w:tr w:rsidR="00990847" w:rsidRPr="00676D79" w14:paraId="7A1ACEEA" w14:textId="77777777" w:rsidTr="00DE53CA">
        <w:tc>
          <w:tcPr>
            <w:tcW w:w="567" w:type="dxa"/>
          </w:tcPr>
          <w:p w14:paraId="31137182" w14:textId="72D57B6D" w:rsidR="00EC7D73" w:rsidRPr="00676D79" w:rsidRDefault="00EC7D73" w:rsidP="00352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14:paraId="0FB0FFCA" w14:textId="77777777" w:rsidR="00990847" w:rsidRPr="00676D79" w:rsidRDefault="00990847" w:rsidP="00352B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Quỹ thưởng người quản lý, kiểm soát viên</w:t>
            </w:r>
          </w:p>
          <w:p w14:paraId="51F64657" w14:textId="6625426B" w:rsidR="00990847" w:rsidRPr="00676D79" w:rsidRDefault="00990847" w:rsidP="00352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(trích 1</w:t>
            </w:r>
            <w:r w:rsidR="00A46447" w:rsidRPr="00676D79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 xml:space="preserve"> tháng lương)</w:t>
            </w:r>
          </w:p>
        </w:tc>
        <w:tc>
          <w:tcPr>
            <w:tcW w:w="746" w:type="dxa"/>
            <w:vAlign w:val="bottom"/>
          </w:tcPr>
          <w:p w14:paraId="6FF567B2" w14:textId="7021B6E6" w:rsidR="00990847" w:rsidRPr="00676D79" w:rsidRDefault="00990847" w:rsidP="00873FC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14" w:type="dxa"/>
            <w:vAlign w:val="bottom"/>
          </w:tcPr>
          <w:p w14:paraId="34980DAD" w14:textId="67D96878" w:rsidR="00990847" w:rsidRPr="00676D79" w:rsidRDefault="0095079D" w:rsidP="00873F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916" w:type="dxa"/>
            <w:vAlign w:val="bottom"/>
          </w:tcPr>
          <w:p w14:paraId="485182FC" w14:textId="2951A241" w:rsidR="00990847" w:rsidRPr="00676D79" w:rsidRDefault="0000229D" w:rsidP="00873FC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171.645.000</w:t>
            </w:r>
          </w:p>
        </w:tc>
      </w:tr>
      <w:tr w:rsidR="00990847" w:rsidRPr="00676D79" w14:paraId="24B7A4A0" w14:textId="77777777" w:rsidTr="00DE53CA">
        <w:tc>
          <w:tcPr>
            <w:tcW w:w="567" w:type="dxa"/>
          </w:tcPr>
          <w:p w14:paraId="7180F13F" w14:textId="3D56319C" w:rsidR="00990847" w:rsidRPr="00676D79" w:rsidRDefault="00990847" w:rsidP="00352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14:paraId="66E54191" w14:textId="3CEA8147" w:rsidR="00990847" w:rsidRPr="00676D79" w:rsidRDefault="00990847" w:rsidP="00352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Phụng dưỡng mẹ Việt Nam Anh Hùng</w:t>
            </w:r>
          </w:p>
        </w:tc>
        <w:tc>
          <w:tcPr>
            <w:tcW w:w="746" w:type="dxa"/>
            <w:vAlign w:val="center"/>
          </w:tcPr>
          <w:p w14:paraId="231E2132" w14:textId="21DFFE50" w:rsidR="00990847" w:rsidRPr="00676D79" w:rsidRDefault="00990847" w:rsidP="00352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14" w:type="dxa"/>
            <w:vAlign w:val="center"/>
          </w:tcPr>
          <w:p w14:paraId="63837BB1" w14:textId="33CB33D5" w:rsidR="00990847" w:rsidRPr="00676D79" w:rsidRDefault="0095079D" w:rsidP="00352BC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916" w:type="dxa"/>
            <w:vAlign w:val="center"/>
          </w:tcPr>
          <w:p w14:paraId="4E22B647" w14:textId="7C30C86F" w:rsidR="00990847" w:rsidRPr="00676D79" w:rsidRDefault="00990847" w:rsidP="00352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 xml:space="preserve">      37.</w:t>
            </w:r>
            <w:r w:rsidR="0095079D" w:rsidRPr="00676D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 xml:space="preserve">00.000 </w:t>
            </w:r>
          </w:p>
        </w:tc>
      </w:tr>
      <w:tr w:rsidR="00990847" w:rsidRPr="00676D79" w14:paraId="17D126AD" w14:textId="77777777" w:rsidTr="00DE53CA">
        <w:tc>
          <w:tcPr>
            <w:tcW w:w="567" w:type="dxa"/>
          </w:tcPr>
          <w:p w14:paraId="785FFE77" w14:textId="2EBA0856" w:rsidR="00990847" w:rsidRPr="00676D79" w:rsidRDefault="00990847" w:rsidP="00352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14:paraId="01E381D8" w14:textId="77777777" w:rsidR="00DE53CA" w:rsidRDefault="00990847" w:rsidP="00352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 xml:space="preserve">Khoản chi ủng hộ công tác xã hội tại </w:t>
            </w:r>
          </w:p>
          <w:p w14:paraId="15B20D0D" w14:textId="12487CAC" w:rsidR="00990847" w:rsidRPr="00676D79" w:rsidRDefault="00990847" w:rsidP="00352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địa phương</w:t>
            </w:r>
          </w:p>
        </w:tc>
        <w:tc>
          <w:tcPr>
            <w:tcW w:w="746" w:type="dxa"/>
            <w:vAlign w:val="center"/>
          </w:tcPr>
          <w:p w14:paraId="6AAB5BE6" w14:textId="015B657E" w:rsidR="00990847" w:rsidRPr="00676D79" w:rsidRDefault="00990847" w:rsidP="00352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14" w:type="dxa"/>
            <w:vAlign w:val="center"/>
          </w:tcPr>
          <w:p w14:paraId="4AF17EE4" w14:textId="755C3118" w:rsidR="00990847" w:rsidRPr="00676D79" w:rsidRDefault="0095079D" w:rsidP="00352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916" w:type="dxa"/>
            <w:vAlign w:val="center"/>
          </w:tcPr>
          <w:p w14:paraId="2D9DBFBB" w14:textId="183696C2" w:rsidR="00990847" w:rsidRPr="00676D79" w:rsidRDefault="00990847" w:rsidP="00352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079D" w:rsidRPr="00676D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 xml:space="preserve">0.000.000 </w:t>
            </w:r>
          </w:p>
        </w:tc>
      </w:tr>
      <w:tr w:rsidR="00990847" w:rsidRPr="00676D79" w14:paraId="32FBF3A9" w14:textId="77777777" w:rsidTr="00DE53CA">
        <w:tc>
          <w:tcPr>
            <w:tcW w:w="567" w:type="dxa"/>
          </w:tcPr>
          <w:p w14:paraId="4DC58819" w14:textId="4433B687" w:rsidR="00990847" w:rsidRPr="00676D79" w:rsidRDefault="00450AC4" w:rsidP="00352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962" w:type="dxa"/>
            <w:vAlign w:val="center"/>
          </w:tcPr>
          <w:p w14:paraId="2E030B56" w14:textId="15DB0C2F" w:rsidR="00990847" w:rsidRPr="00676D79" w:rsidRDefault="00990847" w:rsidP="00352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Lợi nhuận còn lại chuyển sang năm 2021</w:t>
            </w:r>
          </w:p>
        </w:tc>
        <w:tc>
          <w:tcPr>
            <w:tcW w:w="746" w:type="dxa"/>
            <w:vAlign w:val="center"/>
          </w:tcPr>
          <w:p w14:paraId="45D6BD6E" w14:textId="37963FA6" w:rsidR="00990847" w:rsidRPr="00676D79" w:rsidRDefault="00990847" w:rsidP="00352B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14" w:type="dxa"/>
          </w:tcPr>
          <w:p w14:paraId="5A2E00F9" w14:textId="1A149F18" w:rsidR="00990847" w:rsidRPr="00676D79" w:rsidRDefault="00990847" w:rsidP="00352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31E82C65" w14:textId="32CA0115" w:rsidR="00990847" w:rsidRPr="00676D79" w:rsidRDefault="00990847" w:rsidP="00352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</w:tbl>
    <w:p w14:paraId="17D8F4E1" w14:textId="77777777" w:rsidR="00990847" w:rsidRPr="00676D79" w:rsidRDefault="00990847" w:rsidP="00990847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5715E387" w14:textId="346167D4" w:rsidR="00CD27BA" w:rsidRPr="00676D79" w:rsidRDefault="001307F1" w:rsidP="0065314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 xml:space="preserve">Kế hoạch phân phối lợi nhuận năm </w:t>
      </w:r>
      <w:r w:rsidR="00990847" w:rsidRPr="00676D79">
        <w:rPr>
          <w:rFonts w:ascii="Times New Roman" w:hAnsi="Times New Roman" w:cs="Times New Roman"/>
          <w:sz w:val="26"/>
          <w:szCs w:val="26"/>
        </w:rPr>
        <w:t>2021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746"/>
        <w:gridCol w:w="850"/>
        <w:gridCol w:w="2232"/>
      </w:tblGrid>
      <w:tr w:rsidR="000D1D97" w:rsidRPr="00676D79" w14:paraId="444AA142" w14:textId="77777777" w:rsidTr="00DD0745">
        <w:tc>
          <w:tcPr>
            <w:tcW w:w="567" w:type="dxa"/>
          </w:tcPr>
          <w:p w14:paraId="7DC69937" w14:textId="77777777" w:rsidR="000D1D97" w:rsidRPr="00676D79" w:rsidRDefault="000D1D97" w:rsidP="006358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Hlk5433578"/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6C23E1"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678" w:type="dxa"/>
          </w:tcPr>
          <w:p w14:paraId="46F0D7C1" w14:textId="77777777" w:rsidR="000D1D97" w:rsidRPr="00676D79" w:rsidRDefault="000D1D97" w:rsidP="006358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746" w:type="dxa"/>
          </w:tcPr>
          <w:p w14:paraId="2091DBDC" w14:textId="77777777" w:rsidR="000D1D97" w:rsidRPr="00676D79" w:rsidRDefault="000D1D97" w:rsidP="006358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Đvt</w:t>
            </w:r>
          </w:p>
        </w:tc>
        <w:tc>
          <w:tcPr>
            <w:tcW w:w="850" w:type="dxa"/>
          </w:tcPr>
          <w:p w14:paraId="3A9C4F79" w14:textId="77777777" w:rsidR="00252C52" w:rsidRPr="00676D79" w:rsidRDefault="00252C52" w:rsidP="006358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Tỷ lệ </w:t>
            </w:r>
          </w:p>
          <w:p w14:paraId="699BF293" w14:textId="6BD8BC34" w:rsidR="000D1D97" w:rsidRPr="00676D79" w:rsidRDefault="00252C52" w:rsidP="006358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trích lập</w:t>
            </w:r>
            <w:r w:rsidR="009C0DFD"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C0DFD" w:rsidRPr="00676D79">
              <w:rPr>
                <w:rFonts w:ascii="Times New Roman" w:hAnsi="Times New Roman" w:cs="Times New Roman"/>
                <w:bCs/>
                <w:sz w:val="26"/>
                <w:szCs w:val="26"/>
              </w:rPr>
              <w:t>(%)</w:t>
            </w:r>
          </w:p>
        </w:tc>
        <w:tc>
          <w:tcPr>
            <w:tcW w:w="2232" w:type="dxa"/>
          </w:tcPr>
          <w:p w14:paraId="1EB5ECD0" w14:textId="77777777" w:rsidR="000D1D97" w:rsidRPr="00676D79" w:rsidRDefault="00060BDA" w:rsidP="006358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Mức trích</w:t>
            </w:r>
          </w:p>
        </w:tc>
      </w:tr>
      <w:tr w:rsidR="00ED6D20" w:rsidRPr="00676D79" w14:paraId="6100990A" w14:textId="77777777" w:rsidTr="00DD0745">
        <w:tc>
          <w:tcPr>
            <w:tcW w:w="567" w:type="dxa"/>
          </w:tcPr>
          <w:p w14:paraId="7E193591" w14:textId="77777777" w:rsidR="00ED6D20" w:rsidRPr="00676D79" w:rsidRDefault="00ED6D20" w:rsidP="00ED6D2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14:paraId="2828FEA7" w14:textId="77777777" w:rsidR="00ED6D20" w:rsidRPr="00676D79" w:rsidRDefault="00ED6D20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Lợi nhuận trước thuế</w:t>
            </w:r>
          </w:p>
        </w:tc>
        <w:tc>
          <w:tcPr>
            <w:tcW w:w="746" w:type="dxa"/>
            <w:vAlign w:val="center"/>
          </w:tcPr>
          <w:p w14:paraId="47BE13A0" w14:textId="39658E2A" w:rsidR="00ED6D20" w:rsidRPr="00676D79" w:rsidRDefault="00ED6D20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6203BB7D" w14:textId="77777777" w:rsidR="00ED6D20" w:rsidRPr="00676D79" w:rsidRDefault="00ED6D20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14:paraId="443C867F" w14:textId="10230B80" w:rsidR="00ED6D20" w:rsidRPr="00676D79" w:rsidRDefault="003659FD" w:rsidP="00BF0059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19.049.895.334</w:t>
            </w:r>
          </w:p>
        </w:tc>
      </w:tr>
      <w:tr w:rsidR="00ED6D20" w:rsidRPr="00676D79" w14:paraId="5225AAC1" w14:textId="77777777" w:rsidTr="00DD0745">
        <w:tc>
          <w:tcPr>
            <w:tcW w:w="567" w:type="dxa"/>
          </w:tcPr>
          <w:p w14:paraId="6EFC0BD7" w14:textId="77777777" w:rsidR="00ED6D20" w:rsidRPr="00676D79" w:rsidRDefault="00ED6D20" w:rsidP="00ED6D2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14:paraId="565F36EF" w14:textId="77777777" w:rsidR="00ED6D20" w:rsidRPr="00676D79" w:rsidRDefault="00ED6D20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Lợi nhuận sau thuế</w:t>
            </w:r>
          </w:p>
        </w:tc>
        <w:tc>
          <w:tcPr>
            <w:tcW w:w="746" w:type="dxa"/>
            <w:vAlign w:val="center"/>
          </w:tcPr>
          <w:p w14:paraId="1DCB442C" w14:textId="4471A720" w:rsidR="00ED6D20" w:rsidRPr="00676D79" w:rsidRDefault="00ED6D20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1A02FB31" w14:textId="77777777" w:rsidR="00ED6D20" w:rsidRPr="00676D79" w:rsidRDefault="00ED6D20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14:paraId="7F6B4AE8" w14:textId="4A14DF5F" w:rsidR="00ED6D20" w:rsidRPr="00676D79" w:rsidRDefault="003659FD" w:rsidP="00BF0059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15.416.509.124</w:t>
            </w:r>
          </w:p>
        </w:tc>
      </w:tr>
      <w:tr w:rsidR="001375FD" w:rsidRPr="00676D79" w14:paraId="7ECFD33B" w14:textId="77777777" w:rsidTr="00DD0745">
        <w:tc>
          <w:tcPr>
            <w:tcW w:w="567" w:type="dxa"/>
          </w:tcPr>
          <w:p w14:paraId="0A148D5A" w14:textId="77777777" w:rsidR="001375FD" w:rsidRPr="00676D79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vAlign w:val="center"/>
          </w:tcPr>
          <w:p w14:paraId="517F6400" w14:textId="77777777" w:rsidR="001375FD" w:rsidRPr="00676D79" w:rsidRDefault="001375FD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Trích lập quỹ:</w:t>
            </w:r>
          </w:p>
        </w:tc>
        <w:tc>
          <w:tcPr>
            <w:tcW w:w="746" w:type="dxa"/>
            <w:vAlign w:val="center"/>
          </w:tcPr>
          <w:p w14:paraId="1F2C3795" w14:textId="77777777" w:rsidR="001375FD" w:rsidRPr="00676D79" w:rsidRDefault="001375FD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E5D11F6" w14:textId="77777777" w:rsidR="001375FD" w:rsidRPr="00676D79" w:rsidRDefault="001375FD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14:paraId="53870B78" w14:textId="77777777" w:rsidR="001375FD" w:rsidRPr="00676D79" w:rsidRDefault="001375FD" w:rsidP="00BF0059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C32" w:rsidRPr="00676D79" w14:paraId="05C35E7A" w14:textId="77777777" w:rsidTr="00DD0745">
        <w:tc>
          <w:tcPr>
            <w:tcW w:w="567" w:type="dxa"/>
          </w:tcPr>
          <w:p w14:paraId="41DC92A1" w14:textId="77777777" w:rsidR="00725C32" w:rsidRPr="00676D79" w:rsidRDefault="00725C32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45F209A6" w14:textId="77777777" w:rsidR="00725C32" w:rsidRPr="00676D79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Quỹ đầu tư phát triển</w:t>
            </w:r>
          </w:p>
        </w:tc>
        <w:tc>
          <w:tcPr>
            <w:tcW w:w="746" w:type="dxa"/>
            <w:vAlign w:val="center"/>
          </w:tcPr>
          <w:p w14:paraId="7168F301" w14:textId="73F03FEF" w:rsidR="00725C32" w:rsidRPr="00676D79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623F5510" w14:textId="0DF2D4F0" w:rsidR="00725C32" w:rsidRPr="00676D79" w:rsidRDefault="00E20797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35-</w:t>
            </w:r>
            <w:r w:rsidR="00681AA8" w:rsidRPr="00676D79">
              <w:rPr>
                <w:rFonts w:ascii="Times New Roman" w:hAnsi="Times New Roman" w:cs="Times New Roman"/>
                <w:sz w:val="26"/>
                <w:szCs w:val="26"/>
              </w:rPr>
              <w:t>55,8</w:t>
            </w:r>
          </w:p>
        </w:tc>
        <w:tc>
          <w:tcPr>
            <w:tcW w:w="2232" w:type="dxa"/>
            <w:vAlign w:val="center"/>
          </w:tcPr>
          <w:p w14:paraId="211E312D" w14:textId="77777777" w:rsidR="000C579E" w:rsidRDefault="000C579E" w:rsidP="00676D7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Từ </w:t>
            </w:r>
            <w:r w:rsidR="000050B7" w:rsidRPr="000050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5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50B7" w:rsidRPr="000050B7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  <w:r w:rsidR="00005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50B7" w:rsidRPr="000050B7">
              <w:rPr>
                <w:rFonts w:ascii="Times New Roman" w:hAnsi="Times New Roman" w:cs="Times New Roman"/>
                <w:sz w:val="26"/>
                <w:szCs w:val="26"/>
              </w:rPr>
              <w:t>577</w:t>
            </w:r>
            <w:r w:rsidR="00005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50B7" w:rsidRPr="000050B7">
              <w:rPr>
                <w:rFonts w:ascii="Times New Roman" w:hAnsi="Times New Roman" w:cs="Times New Roman"/>
                <w:sz w:val="26"/>
                <w:szCs w:val="26"/>
              </w:rPr>
              <w:t>813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2AF2FA3" w14:textId="31C24E9F" w:rsidR="00725C32" w:rsidRPr="00676D79" w:rsidRDefault="000C579E" w:rsidP="00DD074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r w:rsidR="00DD0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1F30" w:rsidRPr="00676D79">
              <w:rPr>
                <w:rFonts w:ascii="Times New Roman" w:hAnsi="Times New Roman" w:cs="Times New Roman"/>
                <w:sz w:val="26"/>
                <w:szCs w:val="26"/>
              </w:rPr>
              <w:t>8.609.086.713</w:t>
            </w:r>
          </w:p>
        </w:tc>
      </w:tr>
      <w:tr w:rsidR="00DD6BEC" w:rsidRPr="00676D79" w14:paraId="3266E69E" w14:textId="77777777" w:rsidTr="00DD0745">
        <w:tc>
          <w:tcPr>
            <w:tcW w:w="567" w:type="dxa"/>
          </w:tcPr>
          <w:p w14:paraId="330C3521" w14:textId="77777777" w:rsidR="00DD6BEC" w:rsidRPr="00676D79" w:rsidRDefault="00DD6BEC" w:rsidP="00DD6BE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765EFF6A" w14:textId="6B260A9D" w:rsidR="00DD6BEC" w:rsidRPr="00676D79" w:rsidRDefault="00DD6BEC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 xml:space="preserve">Quỹ khen thưởng phúc lợi (trích </w:t>
            </w:r>
            <w:r w:rsidR="003659FD" w:rsidRPr="00676D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 xml:space="preserve"> tháng lương)</w:t>
            </w:r>
          </w:p>
        </w:tc>
        <w:tc>
          <w:tcPr>
            <w:tcW w:w="746" w:type="dxa"/>
            <w:vAlign w:val="center"/>
          </w:tcPr>
          <w:p w14:paraId="357969D6" w14:textId="21AF4565" w:rsidR="00DD6BEC" w:rsidRPr="00676D79" w:rsidRDefault="00DD6BEC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0DDE18FA" w14:textId="65282520" w:rsidR="00DD6BEC" w:rsidRPr="00676D79" w:rsidRDefault="00DF66E1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2232" w:type="dxa"/>
            <w:vAlign w:val="center"/>
          </w:tcPr>
          <w:p w14:paraId="1C70E752" w14:textId="1267D1C3" w:rsidR="00DD6BEC" w:rsidRPr="00676D79" w:rsidRDefault="00097E68" w:rsidP="00090C0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942.645.911</w:t>
            </w:r>
          </w:p>
        </w:tc>
      </w:tr>
      <w:tr w:rsidR="00725C32" w:rsidRPr="00676D79" w14:paraId="09FEDAEB" w14:textId="77777777" w:rsidTr="00DD0745">
        <w:tc>
          <w:tcPr>
            <w:tcW w:w="567" w:type="dxa"/>
          </w:tcPr>
          <w:p w14:paraId="30AA0D39" w14:textId="77777777" w:rsidR="00725C32" w:rsidRPr="00676D79" w:rsidRDefault="00725C32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7D0BF30B" w14:textId="4217278E" w:rsidR="007E0555" w:rsidRPr="00676D79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Quỹ thưởng người quản lý, kiểm soát viên</w:t>
            </w:r>
          </w:p>
          <w:p w14:paraId="0F220079" w14:textId="0CDBFAFC" w:rsidR="00725C32" w:rsidRPr="00676D79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(trích 1</w:t>
            </w:r>
            <w:r w:rsidR="003659FD" w:rsidRPr="00676D79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 xml:space="preserve"> tháng lương)</w:t>
            </w:r>
          </w:p>
        </w:tc>
        <w:tc>
          <w:tcPr>
            <w:tcW w:w="746" w:type="dxa"/>
            <w:vAlign w:val="center"/>
          </w:tcPr>
          <w:p w14:paraId="02A12C05" w14:textId="6DCF1CC2" w:rsidR="00725C32" w:rsidRPr="00676D79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50B55AAD" w14:textId="27CA3DEB" w:rsidR="00725C32" w:rsidRPr="00676D79" w:rsidRDefault="00DF66E1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2232" w:type="dxa"/>
            <w:vAlign w:val="center"/>
          </w:tcPr>
          <w:p w14:paraId="24C3E397" w14:textId="1CDC234C" w:rsidR="00725C32" w:rsidRPr="00676D79" w:rsidRDefault="00097E68" w:rsidP="00090C0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198.345.000</w:t>
            </w:r>
          </w:p>
        </w:tc>
      </w:tr>
      <w:tr w:rsidR="00725C32" w:rsidRPr="00676D79" w14:paraId="0AEF13AD" w14:textId="77777777" w:rsidTr="00DD0745">
        <w:tc>
          <w:tcPr>
            <w:tcW w:w="567" w:type="dxa"/>
          </w:tcPr>
          <w:p w14:paraId="112132A7" w14:textId="77777777" w:rsidR="00725C32" w:rsidRPr="00676D79" w:rsidRDefault="00725C32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41A0FCDF" w14:textId="77777777" w:rsidR="00725C32" w:rsidRPr="00676D79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Phụng dưỡng mẹ Việt Nam Anh Hùng</w:t>
            </w:r>
          </w:p>
        </w:tc>
        <w:tc>
          <w:tcPr>
            <w:tcW w:w="746" w:type="dxa"/>
            <w:vAlign w:val="center"/>
          </w:tcPr>
          <w:p w14:paraId="5811C66F" w14:textId="3A81551A" w:rsidR="00725C32" w:rsidRPr="00676D79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3CF67ED8" w14:textId="0B858E96" w:rsidR="00725C32" w:rsidRPr="00676D79" w:rsidRDefault="00DF66E1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2232" w:type="dxa"/>
            <w:vAlign w:val="center"/>
          </w:tcPr>
          <w:p w14:paraId="576CFB3C" w14:textId="1E7F8223" w:rsidR="00725C32" w:rsidRPr="00676D79" w:rsidRDefault="00097E68" w:rsidP="00DF66E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F66E1" w:rsidRPr="00676D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.450.000</w:t>
            </w:r>
          </w:p>
        </w:tc>
      </w:tr>
      <w:tr w:rsidR="00725C32" w:rsidRPr="00676D79" w14:paraId="4DE58CD2" w14:textId="77777777" w:rsidTr="00DD0745">
        <w:tc>
          <w:tcPr>
            <w:tcW w:w="567" w:type="dxa"/>
          </w:tcPr>
          <w:p w14:paraId="10D29663" w14:textId="77777777" w:rsidR="00725C32" w:rsidRPr="00676D79" w:rsidRDefault="00725C32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79E012D4" w14:textId="77777777" w:rsidR="00725C32" w:rsidRPr="00676D79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Tài trợ suất ăn bệnh nhân nghèo huyện Phú Giáo</w:t>
            </w:r>
          </w:p>
        </w:tc>
        <w:tc>
          <w:tcPr>
            <w:tcW w:w="746" w:type="dxa"/>
            <w:vAlign w:val="center"/>
          </w:tcPr>
          <w:p w14:paraId="243F3811" w14:textId="3FCEA4FB" w:rsidR="00725C32" w:rsidRPr="00676D79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2856B121" w14:textId="62802A22" w:rsidR="00725C32" w:rsidRPr="00676D79" w:rsidRDefault="00DF66E1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232" w:type="dxa"/>
            <w:vAlign w:val="center"/>
          </w:tcPr>
          <w:p w14:paraId="20D6075F" w14:textId="0FD7E406" w:rsidR="00725C32" w:rsidRPr="00676D79" w:rsidRDefault="00097E68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46.800.000</w:t>
            </w:r>
          </w:p>
        </w:tc>
      </w:tr>
      <w:tr w:rsidR="00725C32" w:rsidRPr="00676D79" w14:paraId="2D374FA9" w14:textId="77777777" w:rsidTr="00DD0745">
        <w:tc>
          <w:tcPr>
            <w:tcW w:w="567" w:type="dxa"/>
          </w:tcPr>
          <w:p w14:paraId="7A582ECD" w14:textId="77777777" w:rsidR="00725C32" w:rsidRPr="00676D79" w:rsidRDefault="00725C32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24085880" w14:textId="77777777" w:rsidR="00725C32" w:rsidRPr="00676D79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Khoản chi ủng hộ công tác xã hội tại địa phương</w:t>
            </w:r>
          </w:p>
        </w:tc>
        <w:tc>
          <w:tcPr>
            <w:tcW w:w="746" w:type="dxa"/>
            <w:vAlign w:val="center"/>
          </w:tcPr>
          <w:p w14:paraId="6F37DADF" w14:textId="7DB61E7A" w:rsidR="00725C32" w:rsidRPr="00676D79" w:rsidRDefault="00725C32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4CD49BF1" w14:textId="7C8C7EE5" w:rsidR="00725C32" w:rsidRPr="00676D79" w:rsidRDefault="00DF66E1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232" w:type="dxa"/>
            <w:vAlign w:val="center"/>
          </w:tcPr>
          <w:p w14:paraId="136F3B01" w14:textId="7151E53C" w:rsidR="00725C32" w:rsidRPr="00676D79" w:rsidRDefault="00097E68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250.000.000</w:t>
            </w:r>
          </w:p>
        </w:tc>
      </w:tr>
      <w:tr w:rsidR="00BA2E5D" w:rsidRPr="00676D79" w14:paraId="37CA4EA7" w14:textId="77777777" w:rsidTr="00DD0745">
        <w:tc>
          <w:tcPr>
            <w:tcW w:w="567" w:type="dxa"/>
          </w:tcPr>
          <w:p w14:paraId="58937F91" w14:textId="77777777" w:rsidR="00BA2E5D" w:rsidRPr="00676D79" w:rsidRDefault="00BA2E5D" w:rsidP="00725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2D91C96D" w14:textId="081DE27F" w:rsidR="00BA2E5D" w:rsidRPr="00676D79" w:rsidRDefault="0024571D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 xml:space="preserve">Chia cổ tức (tỷ lệ </w:t>
            </w:r>
            <w:r w:rsidR="001F644D" w:rsidRPr="00676D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D4ABF">
              <w:rPr>
                <w:rFonts w:ascii="Times New Roman" w:hAnsi="Times New Roman" w:cs="Times New Roman"/>
                <w:sz w:val="26"/>
                <w:szCs w:val="26"/>
              </w:rPr>
              <w:t xml:space="preserve"> - 8%</w:t>
            </w: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46" w:type="dxa"/>
            <w:vAlign w:val="center"/>
          </w:tcPr>
          <w:p w14:paraId="4CE915B7" w14:textId="6CD71760" w:rsidR="00BA2E5D" w:rsidRPr="00676D79" w:rsidRDefault="00873FCF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  <w:vAlign w:val="center"/>
          </w:tcPr>
          <w:p w14:paraId="24F2F363" w14:textId="356CFD0C" w:rsidR="00BA2E5D" w:rsidRPr="00676D79" w:rsidRDefault="00681AA8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34,7</w:t>
            </w:r>
            <w:r w:rsidR="002037EC">
              <w:rPr>
                <w:rFonts w:ascii="Times New Roman" w:hAnsi="Times New Roman" w:cs="Times New Roman"/>
                <w:sz w:val="26"/>
                <w:szCs w:val="26"/>
              </w:rPr>
              <w:t>-55,</w:t>
            </w:r>
            <w:r w:rsidR="00E207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32" w:type="dxa"/>
            <w:vAlign w:val="center"/>
          </w:tcPr>
          <w:p w14:paraId="4F9BA682" w14:textId="770FE979" w:rsidR="00BA2E5D" w:rsidRDefault="00157130" w:rsidP="002508E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Từ </w:t>
            </w:r>
            <w:r w:rsidR="00671D0A" w:rsidRPr="00676D79">
              <w:rPr>
                <w:rFonts w:ascii="Times New Roman" w:hAnsi="Times New Roman" w:cs="Times New Roman"/>
                <w:sz w:val="26"/>
                <w:szCs w:val="26"/>
              </w:rPr>
              <w:t>5.344.181.500</w:t>
            </w:r>
          </w:p>
          <w:p w14:paraId="176FD1A4" w14:textId="3EAA38CF" w:rsidR="00157130" w:rsidRPr="00676D79" w:rsidRDefault="00157130" w:rsidP="002508E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đến 8.550.690.400</w:t>
            </w:r>
          </w:p>
        </w:tc>
      </w:tr>
      <w:tr w:rsidR="00ED6D20" w:rsidRPr="00676D79" w14:paraId="3D5DFA38" w14:textId="77777777" w:rsidTr="00DD0745">
        <w:tc>
          <w:tcPr>
            <w:tcW w:w="567" w:type="dxa"/>
            <w:vAlign w:val="center"/>
          </w:tcPr>
          <w:p w14:paraId="2805F80C" w14:textId="77777777" w:rsidR="00ED6D20" w:rsidRPr="00676D79" w:rsidRDefault="00ED6D20" w:rsidP="00873F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 w14:paraId="0809AB52" w14:textId="6799820C" w:rsidR="00ED6D20" w:rsidRPr="00676D79" w:rsidRDefault="00ED6D20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Lợi nhuận còn lại chuyển sang năm 202</w:t>
            </w:r>
            <w:r w:rsidR="008F10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6" w:type="dxa"/>
            <w:vAlign w:val="center"/>
          </w:tcPr>
          <w:p w14:paraId="75FE1CC9" w14:textId="1CFFE02D" w:rsidR="00ED6D20" w:rsidRPr="00676D79" w:rsidRDefault="00ED6D20" w:rsidP="00DD6BEC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850" w:type="dxa"/>
          </w:tcPr>
          <w:p w14:paraId="30A34D79" w14:textId="77777777" w:rsidR="00ED6D20" w:rsidRPr="00676D79" w:rsidRDefault="00ED6D20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14:paraId="03DFD794" w14:textId="0B7BE1ED" w:rsidR="00ED6D20" w:rsidRPr="00676D79" w:rsidRDefault="00ED6D20" w:rsidP="00DD6B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"/>
    </w:tbl>
    <w:p w14:paraId="59550BB0" w14:textId="77777777" w:rsidR="001307F1" w:rsidRPr="00676D79" w:rsidRDefault="001307F1" w:rsidP="0065314F">
      <w:pPr>
        <w:pStyle w:val="ListParagraph"/>
        <w:spacing w:after="0" w:line="360" w:lineRule="auto"/>
        <w:ind w:left="71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EAE3482" w14:textId="77777777" w:rsidR="009E6279" w:rsidRPr="00676D79" w:rsidRDefault="009E6279" w:rsidP="0065314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>Kính trình Đại hội xem xét và thông qua nội dung nêu trên.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1"/>
      </w:tblGrid>
      <w:tr w:rsidR="00976CA8" w:rsidRPr="00676D79" w14:paraId="74BC7AF2" w14:textId="77777777" w:rsidTr="00DD0745">
        <w:tc>
          <w:tcPr>
            <w:tcW w:w="4617" w:type="dxa"/>
          </w:tcPr>
          <w:p w14:paraId="4E55785A" w14:textId="77777777" w:rsidR="00976CA8" w:rsidRPr="00676D79" w:rsidRDefault="00976CA8" w:rsidP="006531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</w:tcPr>
          <w:p w14:paraId="3FF6F3EE" w14:textId="77777777" w:rsidR="00976CA8" w:rsidRPr="00676D79" w:rsidRDefault="00976CA8" w:rsidP="006531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TM. </w:t>
            </w:r>
            <w:r w:rsidR="009E6279"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HỘI ĐỒNG QUẢN TRỊ</w:t>
            </w:r>
          </w:p>
          <w:p w14:paraId="7FF8C620" w14:textId="77777777" w:rsidR="00976CA8" w:rsidRPr="00676D79" w:rsidRDefault="009E6279" w:rsidP="006531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14:paraId="05D5C392" w14:textId="77777777" w:rsidR="00976CA8" w:rsidRPr="00676D79" w:rsidRDefault="00976CA8" w:rsidP="006531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C59DFB" w14:textId="77777777" w:rsidR="00413657" w:rsidRPr="00676D79" w:rsidRDefault="00413657" w:rsidP="00DD07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676D79" w:rsidSect="00FE043A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954D3"/>
    <w:multiLevelType w:val="hybridMultilevel"/>
    <w:tmpl w:val="1C08E6CC"/>
    <w:lvl w:ilvl="0" w:tplc="1ADEF85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0229D"/>
    <w:rsid w:val="000050B7"/>
    <w:rsid w:val="000162C2"/>
    <w:rsid w:val="00060BDA"/>
    <w:rsid w:val="00062D88"/>
    <w:rsid w:val="00090C0E"/>
    <w:rsid w:val="00090EEA"/>
    <w:rsid w:val="00097E68"/>
    <w:rsid w:val="000B3C7D"/>
    <w:rsid w:val="000C579E"/>
    <w:rsid w:val="000D1D97"/>
    <w:rsid w:val="000D4ABF"/>
    <w:rsid w:val="000D7B99"/>
    <w:rsid w:val="000F61B7"/>
    <w:rsid w:val="001307F1"/>
    <w:rsid w:val="001375FD"/>
    <w:rsid w:val="001410E9"/>
    <w:rsid w:val="00150838"/>
    <w:rsid w:val="00157130"/>
    <w:rsid w:val="0017628F"/>
    <w:rsid w:val="001A0FB8"/>
    <w:rsid w:val="001B192B"/>
    <w:rsid w:val="001D23BE"/>
    <w:rsid w:val="001E0EAB"/>
    <w:rsid w:val="001F644D"/>
    <w:rsid w:val="002037EC"/>
    <w:rsid w:val="00214300"/>
    <w:rsid w:val="0024571D"/>
    <w:rsid w:val="002508E6"/>
    <w:rsid w:val="00252C52"/>
    <w:rsid w:val="0027672A"/>
    <w:rsid w:val="00322E3B"/>
    <w:rsid w:val="00324F93"/>
    <w:rsid w:val="00352BCA"/>
    <w:rsid w:val="0035544A"/>
    <w:rsid w:val="00360112"/>
    <w:rsid w:val="003659FD"/>
    <w:rsid w:val="0038633E"/>
    <w:rsid w:val="003C532A"/>
    <w:rsid w:val="003D1BDB"/>
    <w:rsid w:val="003E3DC6"/>
    <w:rsid w:val="003E3ED0"/>
    <w:rsid w:val="00410E7D"/>
    <w:rsid w:val="00413657"/>
    <w:rsid w:val="00450AC4"/>
    <w:rsid w:val="00461AE3"/>
    <w:rsid w:val="0046286B"/>
    <w:rsid w:val="00487208"/>
    <w:rsid w:val="004A271C"/>
    <w:rsid w:val="004E57D8"/>
    <w:rsid w:val="0050082B"/>
    <w:rsid w:val="00511887"/>
    <w:rsid w:val="005324BB"/>
    <w:rsid w:val="00536DF1"/>
    <w:rsid w:val="00541AA8"/>
    <w:rsid w:val="00551B4C"/>
    <w:rsid w:val="00560AC7"/>
    <w:rsid w:val="005D43C8"/>
    <w:rsid w:val="00601040"/>
    <w:rsid w:val="00625888"/>
    <w:rsid w:val="006358F0"/>
    <w:rsid w:val="0065314F"/>
    <w:rsid w:val="00653F09"/>
    <w:rsid w:val="00671D0A"/>
    <w:rsid w:val="00676592"/>
    <w:rsid w:val="00676D79"/>
    <w:rsid w:val="00681AA8"/>
    <w:rsid w:val="006B3ADC"/>
    <w:rsid w:val="006C23E1"/>
    <w:rsid w:val="006D1F30"/>
    <w:rsid w:val="006F3855"/>
    <w:rsid w:val="00725C32"/>
    <w:rsid w:val="00736E38"/>
    <w:rsid w:val="00783BEC"/>
    <w:rsid w:val="00791692"/>
    <w:rsid w:val="007A6CBC"/>
    <w:rsid w:val="007B2204"/>
    <w:rsid w:val="007C4528"/>
    <w:rsid w:val="007D0E85"/>
    <w:rsid w:val="007E0555"/>
    <w:rsid w:val="00803AA0"/>
    <w:rsid w:val="008121EF"/>
    <w:rsid w:val="00836FAE"/>
    <w:rsid w:val="00837BF0"/>
    <w:rsid w:val="00873FCF"/>
    <w:rsid w:val="0088565B"/>
    <w:rsid w:val="008B2DB7"/>
    <w:rsid w:val="008D4A9E"/>
    <w:rsid w:val="008D5834"/>
    <w:rsid w:val="008F1075"/>
    <w:rsid w:val="0094513D"/>
    <w:rsid w:val="0094756D"/>
    <w:rsid w:val="0095079D"/>
    <w:rsid w:val="009603A0"/>
    <w:rsid w:val="009709BC"/>
    <w:rsid w:val="00976CA8"/>
    <w:rsid w:val="00980934"/>
    <w:rsid w:val="00990847"/>
    <w:rsid w:val="009C0DFD"/>
    <w:rsid w:val="009C3256"/>
    <w:rsid w:val="009E6279"/>
    <w:rsid w:val="009F1643"/>
    <w:rsid w:val="00A06607"/>
    <w:rsid w:val="00A257C4"/>
    <w:rsid w:val="00A4037C"/>
    <w:rsid w:val="00A45CF8"/>
    <w:rsid w:val="00A46447"/>
    <w:rsid w:val="00A521E6"/>
    <w:rsid w:val="00A65BC4"/>
    <w:rsid w:val="00AA2682"/>
    <w:rsid w:val="00AC2525"/>
    <w:rsid w:val="00AD7B2E"/>
    <w:rsid w:val="00AE0E45"/>
    <w:rsid w:val="00AF2944"/>
    <w:rsid w:val="00AF74CD"/>
    <w:rsid w:val="00B00A83"/>
    <w:rsid w:val="00B30F10"/>
    <w:rsid w:val="00B37E9D"/>
    <w:rsid w:val="00B44268"/>
    <w:rsid w:val="00B5107E"/>
    <w:rsid w:val="00B56A7C"/>
    <w:rsid w:val="00B7413F"/>
    <w:rsid w:val="00B842C5"/>
    <w:rsid w:val="00B96A0C"/>
    <w:rsid w:val="00BA2E5D"/>
    <w:rsid w:val="00BB10F8"/>
    <w:rsid w:val="00BD0DF7"/>
    <w:rsid w:val="00BD130A"/>
    <w:rsid w:val="00BE5B0B"/>
    <w:rsid w:val="00BF0059"/>
    <w:rsid w:val="00BF6B74"/>
    <w:rsid w:val="00C23190"/>
    <w:rsid w:val="00C31227"/>
    <w:rsid w:val="00C4629A"/>
    <w:rsid w:val="00C51919"/>
    <w:rsid w:val="00C63D26"/>
    <w:rsid w:val="00C86D6E"/>
    <w:rsid w:val="00C90D1D"/>
    <w:rsid w:val="00CA2B6A"/>
    <w:rsid w:val="00CD27BA"/>
    <w:rsid w:val="00D0485F"/>
    <w:rsid w:val="00D14F16"/>
    <w:rsid w:val="00D21255"/>
    <w:rsid w:val="00D450D9"/>
    <w:rsid w:val="00D60689"/>
    <w:rsid w:val="00D71138"/>
    <w:rsid w:val="00DD0745"/>
    <w:rsid w:val="00DD2BF7"/>
    <w:rsid w:val="00DD6BEC"/>
    <w:rsid w:val="00DE53CA"/>
    <w:rsid w:val="00DF66E1"/>
    <w:rsid w:val="00E003E6"/>
    <w:rsid w:val="00E20797"/>
    <w:rsid w:val="00E212F8"/>
    <w:rsid w:val="00E352C2"/>
    <w:rsid w:val="00E461AE"/>
    <w:rsid w:val="00EC7D73"/>
    <w:rsid w:val="00ED6D20"/>
    <w:rsid w:val="00F006A4"/>
    <w:rsid w:val="00F35AFA"/>
    <w:rsid w:val="00F7003B"/>
    <w:rsid w:val="00F7234C"/>
    <w:rsid w:val="00F93F7F"/>
    <w:rsid w:val="00FD0AE7"/>
    <w:rsid w:val="00FD543C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1708AED4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117</cp:revision>
  <cp:lastPrinted>2019-04-17T07:15:00Z</cp:lastPrinted>
  <dcterms:created xsi:type="dcterms:W3CDTF">2016-06-29T07:12:00Z</dcterms:created>
  <dcterms:modified xsi:type="dcterms:W3CDTF">2021-03-25T09:10:00Z</dcterms:modified>
</cp:coreProperties>
</file>