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65" w:rsidRPr="0018689B" w:rsidRDefault="00CB3213" w:rsidP="00DE146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6"/>
          <w:szCs w:val="26"/>
        </w:rPr>
      </w:pPr>
      <w:r w:rsidRPr="0018689B">
        <w:rPr>
          <w:rFonts w:asciiTheme="majorHAnsi" w:eastAsiaTheme="minorHAnsi" w:hAnsiTheme="majorHAnsi" w:cstheme="majorHAnsi"/>
          <w:b/>
          <w:bCs/>
          <w:sz w:val="26"/>
          <w:szCs w:val="26"/>
          <w:lang w:val="vi-VN"/>
        </w:rPr>
        <w:t xml:space="preserve">CÁC NỘI DUNG SỬA ĐỔI, BỔ SUNG ĐIỀU LỆ </w:t>
      </w:r>
      <w:r w:rsidR="00DE1465" w:rsidRPr="0018689B">
        <w:rPr>
          <w:rFonts w:asciiTheme="majorHAnsi" w:eastAsiaTheme="minorHAnsi" w:hAnsiTheme="majorHAnsi" w:cstheme="majorHAnsi"/>
          <w:b/>
          <w:bCs/>
          <w:sz w:val="26"/>
          <w:szCs w:val="26"/>
        </w:rPr>
        <w:t>CÔNG TY CP NÔNG LÂM NGHIỆP BÌNH DƯƠNG</w:t>
      </w:r>
    </w:p>
    <w:p w:rsidR="00CB3213" w:rsidRPr="0018689B" w:rsidRDefault="00CB3213" w:rsidP="00DE1465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6"/>
          <w:szCs w:val="26"/>
        </w:rPr>
      </w:pPr>
      <w:r w:rsidRPr="0018689B">
        <w:rPr>
          <w:rFonts w:asciiTheme="majorHAnsi" w:eastAsiaTheme="minorHAnsi" w:hAnsiTheme="majorHAnsi" w:cstheme="majorHAnsi"/>
          <w:b/>
          <w:bCs/>
          <w:sz w:val="26"/>
          <w:szCs w:val="26"/>
          <w:lang w:val="vi-VN"/>
        </w:rPr>
        <w:t>PHÙ HỢP VỚI LUẬT DOANH NGHIỆP 2014</w:t>
      </w:r>
    </w:p>
    <w:p w:rsidR="00CB3213" w:rsidRPr="0018689B" w:rsidRDefault="00CB3213" w:rsidP="003A2AD0">
      <w:pPr>
        <w:spacing w:line="336" w:lineRule="auto"/>
        <w:jc w:val="center"/>
        <w:rPr>
          <w:rFonts w:asciiTheme="majorHAnsi" w:hAnsiTheme="majorHAnsi" w:cstheme="majorHAnsi"/>
          <w:b/>
          <w:color w:val="000000"/>
          <w:sz w:val="26"/>
          <w:szCs w:val="26"/>
          <w:lang w:val="nl-NL"/>
        </w:rPr>
      </w:pPr>
      <w:r w:rsidRPr="0018689B">
        <w:rPr>
          <w:rFonts w:asciiTheme="majorHAnsi" w:eastAsiaTheme="minorHAnsi" w:hAnsiTheme="majorHAnsi" w:cstheme="majorHAnsi"/>
          <w:b/>
          <w:bCs/>
          <w:i/>
          <w:iCs/>
          <w:sz w:val="26"/>
          <w:szCs w:val="26"/>
          <w:lang w:val="vi-VN"/>
        </w:rPr>
        <w:t xml:space="preserve">(kèm theo 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  <w:lang w:val="vi-VN"/>
        </w:rPr>
        <w:t>Tờ trình số</w:t>
      </w:r>
      <w:r w:rsidR="00465F75"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 xml:space="preserve"> 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  <w:lang w:val="vi-VN"/>
        </w:rPr>
        <w:t>_____/</w:t>
      </w:r>
      <w:r w:rsidRPr="0018689B">
        <w:rPr>
          <w:rFonts w:asciiTheme="majorHAnsi" w:eastAsiaTheme="minorHAnsi" w:hAnsiTheme="majorHAnsi" w:cstheme="majorHAnsi"/>
          <w:b/>
          <w:bCs/>
          <w:i/>
          <w:iCs/>
          <w:sz w:val="26"/>
          <w:szCs w:val="26"/>
          <w:lang w:val="vi-VN"/>
        </w:rPr>
        <w:t>TTr-</w:t>
      </w:r>
      <w:r w:rsidRPr="0018689B">
        <w:rPr>
          <w:rFonts w:asciiTheme="majorHAnsi" w:eastAsiaTheme="minorHAnsi" w:hAnsiTheme="majorHAnsi" w:cstheme="majorHAnsi"/>
          <w:b/>
          <w:bCs/>
          <w:i/>
          <w:iCs/>
          <w:sz w:val="26"/>
          <w:szCs w:val="26"/>
        </w:rPr>
        <w:t>HĐQT</w:t>
      </w:r>
      <w:r w:rsidRPr="0018689B">
        <w:rPr>
          <w:rFonts w:asciiTheme="majorHAnsi" w:eastAsiaTheme="minorHAnsi" w:hAnsiTheme="majorHAnsi" w:cstheme="majorHAnsi"/>
          <w:b/>
          <w:bCs/>
          <w:i/>
          <w:iCs/>
          <w:sz w:val="26"/>
          <w:szCs w:val="26"/>
          <w:lang w:val="vi-VN"/>
        </w:rPr>
        <w:t xml:space="preserve"> 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  <w:lang w:val="vi-VN"/>
        </w:rPr>
        <w:t>ngày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 xml:space="preserve"> </w:t>
      </w:r>
      <w:r w:rsidR="005B419C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 xml:space="preserve"> 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 xml:space="preserve">  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  <w:lang w:val="vi-VN"/>
        </w:rPr>
        <w:t xml:space="preserve"> tháng </w:t>
      </w:r>
      <w:r w:rsidR="00B24308"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>6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 xml:space="preserve"> 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  <w:lang w:val="vi-VN"/>
        </w:rPr>
        <w:t>năm 201</w:t>
      </w:r>
      <w:r w:rsidRPr="0018689B">
        <w:rPr>
          <w:rFonts w:asciiTheme="majorHAnsi" w:eastAsia="TimesNewRomanPS-BoldItalicMT" w:hAnsiTheme="majorHAnsi" w:cstheme="majorHAnsi"/>
          <w:b/>
          <w:bCs/>
          <w:i/>
          <w:iCs/>
          <w:sz w:val="26"/>
          <w:szCs w:val="26"/>
        </w:rPr>
        <w:t>8</w:t>
      </w:r>
      <w:r w:rsidRPr="0018689B">
        <w:rPr>
          <w:rFonts w:asciiTheme="majorHAnsi" w:eastAsiaTheme="minorHAnsi" w:hAnsiTheme="majorHAnsi" w:cstheme="majorHAnsi"/>
          <w:b/>
          <w:bCs/>
          <w:sz w:val="26"/>
          <w:szCs w:val="26"/>
          <w:lang w:val="vi-VN"/>
        </w:rPr>
        <w:t>)</w:t>
      </w:r>
    </w:p>
    <w:p w:rsidR="00CB3213" w:rsidRDefault="00CB3213" w:rsidP="00005C69">
      <w:pPr>
        <w:pStyle w:val="ListParagraph"/>
        <w:spacing w:after="0" w:line="336" w:lineRule="auto"/>
        <w:ind w:left="0" w:firstLine="284"/>
        <w:jc w:val="both"/>
        <w:rPr>
          <w:rFonts w:asciiTheme="majorHAnsi" w:hAnsiTheme="majorHAnsi" w:cstheme="majorHAnsi"/>
          <w:b/>
          <w:color w:val="000000"/>
          <w:lang w:val="nl-NL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10"/>
        <w:gridCol w:w="7089"/>
        <w:gridCol w:w="7352"/>
      </w:tblGrid>
      <w:tr w:rsidR="009174CE" w:rsidRPr="0018689B" w:rsidTr="009174CE">
        <w:tc>
          <w:tcPr>
            <w:tcW w:w="535" w:type="dxa"/>
          </w:tcPr>
          <w:p w:rsidR="009174CE" w:rsidRPr="0018689B" w:rsidRDefault="009174CE" w:rsidP="005B419C">
            <w:pPr>
              <w:pStyle w:val="ListParagraph"/>
              <w:spacing w:after="6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 w:rsidRPr="0018689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6828" w:type="dxa"/>
          </w:tcPr>
          <w:p w:rsidR="009174CE" w:rsidRPr="0018689B" w:rsidRDefault="009174CE" w:rsidP="005B419C">
            <w:pPr>
              <w:pStyle w:val="ListParagraph"/>
              <w:spacing w:after="6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 w:rsidRPr="0018689B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vi-VN"/>
              </w:rPr>
              <w:t>Nội dung điều lệ hiện hành</w:t>
            </w:r>
          </w:p>
        </w:tc>
        <w:tc>
          <w:tcPr>
            <w:tcW w:w="7374" w:type="dxa"/>
          </w:tcPr>
          <w:p w:rsidR="009174CE" w:rsidRPr="0018689B" w:rsidRDefault="009174CE" w:rsidP="005B419C">
            <w:pPr>
              <w:pStyle w:val="ListParagraph"/>
              <w:spacing w:after="60" w:line="240" w:lineRule="auto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 w:rsidRPr="0018689B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val="vi-VN"/>
              </w:rPr>
              <w:t>Đề nghị sửa đổi/bổ sung</w:t>
            </w:r>
          </w:p>
        </w:tc>
      </w:tr>
      <w:tr w:rsidR="009174CE" w:rsidRPr="0018689B" w:rsidTr="009174CE">
        <w:tc>
          <w:tcPr>
            <w:tcW w:w="535" w:type="dxa"/>
          </w:tcPr>
          <w:p w:rsidR="009174CE" w:rsidRPr="0018689B" w:rsidRDefault="009174CE" w:rsidP="005B419C">
            <w:pPr>
              <w:pStyle w:val="ListParagraph"/>
              <w:spacing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18689B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6828" w:type="dxa"/>
          </w:tcPr>
          <w:p w:rsidR="009174CE" w:rsidRPr="0018689B" w:rsidRDefault="009174CE" w:rsidP="005B419C">
            <w:pPr>
              <w:pStyle w:val="ListParagraph"/>
              <w:spacing w:after="60" w:line="240" w:lineRule="auto"/>
              <w:ind w:left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18689B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  <w:t>Điều 4. Lĩnh vực kinh doanh và phạm vi hoạt động của Công ty</w:t>
            </w:r>
          </w:p>
          <w:p w:rsidR="009174CE" w:rsidRPr="0018689B" w:rsidRDefault="00D51531" w:rsidP="005B419C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0" w:hanging="284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   1. </w:t>
            </w:r>
            <w:r w:rsidR="009174CE" w:rsidRPr="0018689B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Lĩnh vực kinh doanh của Công ty:</w:t>
            </w:r>
          </w:p>
          <w:tbl>
            <w:tblPr>
              <w:tblW w:w="68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70"/>
              <w:gridCol w:w="4536"/>
              <w:gridCol w:w="1657"/>
            </w:tblGrid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Mã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rừng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sóc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rừng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0210 </w:t>
                  </w:r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chính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0149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0123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cao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su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0125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0129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gỗ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0221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Hoạt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dịch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vụ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0240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thuỷ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nội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địa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0322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nông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nguyên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gỗ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tre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nứa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sống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4620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chuyên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chưa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được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phân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vào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đâu</w:t>
                  </w:r>
                  <w:proofErr w:type="spellEnd"/>
                </w:p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Chi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mủ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cao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phân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bón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giống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heo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4669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lợn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0145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Thu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nhặt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phẩm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từ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rừng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không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phải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gỗ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0230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gia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cầm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0146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gỗ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0222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quả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0121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đá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sỏi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sét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0810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xuất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phẩm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khoáng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phi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loại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chưa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được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phân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đâu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2399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nhiên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rắn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lỏng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khí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phẩm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quan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4661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bị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lắp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đặt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trong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xây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dựng</w:t>
                  </w:r>
                  <w:proofErr w:type="spellEnd"/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4663</w:t>
                  </w:r>
                </w:p>
              </w:tc>
            </w:tr>
            <w:tr w:rsidR="009174CE" w:rsidRPr="0018689B" w:rsidTr="0018689B"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Công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ty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phải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thực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hiện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đúng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quy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định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luật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về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xây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dựng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bảo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vệ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môi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trường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kiện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đối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với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nghề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có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kiện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nghề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chưa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khớp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mã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với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Hệ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thống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tế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Việt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Nam</w:t>
                  </w:r>
                </w:p>
              </w:tc>
            </w:tr>
          </w:tbl>
          <w:p w:rsidR="009174CE" w:rsidRPr="0018689B" w:rsidRDefault="009174CE" w:rsidP="005B419C">
            <w:pPr>
              <w:spacing w:after="6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4" w:type="dxa"/>
          </w:tcPr>
          <w:p w:rsidR="009174CE" w:rsidRPr="0018689B" w:rsidRDefault="00D51531" w:rsidP="005B419C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0" w:hanging="17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lastRenderedPageBreak/>
              <w:t xml:space="preserve">- </w:t>
            </w:r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Bổ sung: chi tiết “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lợn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cho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thuê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trang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trại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lợn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”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vào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ngành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lợn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mã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ngành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0145)</w:t>
            </w:r>
          </w:p>
          <w:p w:rsidR="009174CE" w:rsidRPr="0018689B" w:rsidRDefault="00D51531" w:rsidP="005B419C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0" w:hanging="177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 xml:space="preserve">- </w:t>
            </w:r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Bổ sung: chi tiết “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gà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gia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cầm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khác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cho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thuê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trang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trại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gia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cầm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”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vào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ngành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Chăn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nuôi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gia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cầm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mã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ngành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0146)</w:t>
            </w:r>
          </w:p>
          <w:p w:rsidR="009174CE" w:rsidRPr="0018689B" w:rsidRDefault="00D51531" w:rsidP="005B419C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0" w:hanging="177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Bổ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sung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ngành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bất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sản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quyền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đất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thuộc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sở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hữu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hoặc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đi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thuê</w:t>
            </w:r>
            <w:proofErr w:type="spellEnd"/>
          </w:p>
          <w:p w:rsidR="009174CE" w:rsidRDefault="0018689B" w:rsidP="005B419C">
            <w:pPr>
              <w:pStyle w:val="ListParagraph"/>
              <w:spacing w:after="60" w:line="240" w:lineRule="auto"/>
              <w:ind w:left="0" w:hanging="17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ab/>
            </w:r>
            <w:r w:rsidR="00D51531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Chi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tiết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thuê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sản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gắn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liền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với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đất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cho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thuê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vườn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cây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="009174CE" w:rsidRPr="0018689B"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mã</w:t>
            </w:r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>ngành</w:t>
            </w:r>
            <w:bookmarkStart w:id="0" w:name="_GoBack"/>
            <w:bookmarkEnd w:id="0"/>
            <w:proofErr w:type="spellEnd"/>
            <w:r w:rsidR="009174CE" w:rsidRPr="0018689B">
              <w:rPr>
                <w:rFonts w:asciiTheme="majorHAnsi" w:hAnsiTheme="majorHAnsi" w:cstheme="majorHAnsi"/>
                <w:sz w:val="24"/>
                <w:szCs w:val="24"/>
              </w:rPr>
              <w:t xml:space="preserve"> 6810)</w:t>
            </w:r>
          </w:p>
          <w:p w:rsidR="00D51531" w:rsidRPr="0018689B" w:rsidRDefault="00D51531" w:rsidP="005B419C">
            <w:pPr>
              <w:pStyle w:val="ListParagraph"/>
              <w:spacing w:after="60" w:line="240" w:lineRule="auto"/>
              <w:ind w:left="0" w:hanging="177"/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</w:pPr>
          </w:p>
          <w:p w:rsidR="009174CE" w:rsidRPr="0018689B" w:rsidRDefault="009174CE" w:rsidP="005B419C">
            <w:pPr>
              <w:spacing w:after="6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</w:pPr>
            <w:r w:rsidRPr="0018689B">
              <w:rPr>
                <w:rFonts w:asciiTheme="majorHAnsi" w:hAnsiTheme="majorHAnsi" w:cstheme="majorHAnsi"/>
                <w:color w:val="000000"/>
                <w:sz w:val="24"/>
                <w:szCs w:val="24"/>
                <w:lang w:val="nl-NL"/>
              </w:rPr>
              <w:t>Lĩnh vực kinh doanh của Công ty sau khi đề nghị sửa đổi/bổ sung:</w:t>
            </w:r>
          </w:p>
          <w:tbl>
            <w:tblPr>
              <w:tblW w:w="7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70"/>
              <w:gridCol w:w="4725"/>
              <w:gridCol w:w="1731"/>
            </w:tblGrid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Tên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Mã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b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rừng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sóc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rừng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0210 </w:t>
                  </w:r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chính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0149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0123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cao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su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0125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năm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0129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gỗ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0221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Hoạt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dịch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vụ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0240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thuỷ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nội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địa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0322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nông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nguyên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gỗ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tre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nứa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động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sống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4620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chuyên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chưa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được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phân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vào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6"/>
                      <w:sz w:val="24"/>
                      <w:szCs w:val="24"/>
                    </w:rPr>
                    <w:t>đâu</w:t>
                  </w:r>
                  <w:proofErr w:type="spellEnd"/>
                </w:p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Chi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mủ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cao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phân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bón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giống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heo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4669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lợn</w:t>
                  </w:r>
                  <w:proofErr w:type="spellEnd"/>
                </w:p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Chi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lợn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thuê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trang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trại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lợn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0145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Thu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nhặt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phẩm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từ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rừng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không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phải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gỗ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pacing w:val="-10"/>
                      <w:sz w:val="24"/>
                      <w:szCs w:val="24"/>
                    </w:rPr>
                    <w:t>khác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0230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gia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cầm</w:t>
                  </w:r>
                  <w:proofErr w:type="spellEnd"/>
                </w:p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Chi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gà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gia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cầm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thuê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trang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trại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chăn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nuôi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 xml:space="preserve"> gia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cầm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0146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lâm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gỗ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0222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Trồng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ăn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quả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0121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đá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sỏi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sét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0810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xuất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phẩm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từ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khoáng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phi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loại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chưa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được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phân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đâu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2399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nhiên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rắn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lỏng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khí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phẩm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liên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quan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4661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Bán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buôn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bị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lắp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đặt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trong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xây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dựng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4663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bất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động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quyền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sử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dụng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đất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thuộc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chủ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sở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hữu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chủ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sử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dụng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hoặc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đi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thuê</w:t>
                  </w:r>
                  <w:proofErr w:type="spellEnd"/>
                </w:p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Chi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tiết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: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cho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thuê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tài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sản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gắn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liền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với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đất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cho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thuê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vườn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cây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  <w:shd w:val="clear" w:color="auto" w:fill="FFFFFF"/>
                    </w:rPr>
                    <w:t>doanh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6810</w:t>
                  </w:r>
                </w:p>
              </w:tc>
            </w:tr>
            <w:tr w:rsidR="009174CE" w:rsidRPr="0018689B" w:rsidTr="009174CE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jc w:val="center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</w:pPr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Công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ty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phải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thực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hiện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đúng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các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quy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định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của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phát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luật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về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đất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đai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xây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dựng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bảo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vệ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môi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trường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và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kiện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đối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với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nghề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doanh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có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điều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kiện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74CE" w:rsidRPr="0018689B" w:rsidRDefault="009174CE" w:rsidP="005B419C">
                  <w:pPr>
                    <w:spacing w:after="60"/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nghề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chưa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khớp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mã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với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Hệ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thống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ngành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kinh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tế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>Việt</w:t>
                  </w:r>
                  <w:proofErr w:type="spellEnd"/>
                  <w:r w:rsidRPr="0018689B">
                    <w:rPr>
                      <w:rFonts w:asciiTheme="majorHAnsi" w:hAnsiTheme="majorHAnsi" w:cstheme="majorHAnsi"/>
                      <w:i/>
                      <w:color w:val="000000"/>
                      <w:sz w:val="24"/>
                      <w:szCs w:val="24"/>
                    </w:rPr>
                    <w:t xml:space="preserve"> Nam</w:t>
                  </w:r>
                </w:p>
              </w:tc>
            </w:tr>
          </w:tbl>
          <w:p w:rsidR="009174CE" w:rsidRPr="0018689B" w:rsidRDefault="009174CE" w:rsidP="005B419C">
            <w:pPr>
              <w:pStyle w:val="ListParagraph"/>
              <w:spacing w:after="60" w:line="240" w:lineRule="auto"/>
              <w:ind w:left="0"/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A5703C" w:rsidRDefault="00A5703C" w:rsidP="00051E42">
      <w:pPr>
        <w:pStyle w:val="ListParagraph"/>
        <w:spacing w:after="0" w:line="336" w:lineRule="auto"/>
        <w:ind w:left="0" w:firstLine="284"/>
        <w:jc w:val="both"/>
        <w:rPr>
          <w:rFonts w:asciiTheme="majorHAnsi" w:hAnsiTheme="majorHAnsi" w:cstheme="majorHAnsi"/>
          <w:b/>
          <w:color w:val="000000"/>
          <w:lang w:val="nl-NL"/>
        </w:rPr>
      </w:pPr>
    </w:p>
    <w:sectPr w:rsidR="00A5703C" w:rsidSect="009174C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2A3"/>
    <w:multiLevelType w:val="hybridMultilevel"/>
    <w:tmpl w:val="98347142"/>
    <w:lvl w:ilvl="0" w:tplc="82902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BC9"/>
    <w:multiLevelType w:val="hybridMultilevel"/>
    <w:tmpl w:val="41441B0E"/>
    <w:lvl w:ilvl="0" w:tplc="426801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A052DC"/>
    <w:multiLevelType w:val="hybridMultilevel"/>
    <w:tmpl w:val="E3E2FEBA"/>
    <w:lvl w:ilvl="0" w:tplc="A1BAD29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775D83"/>
    <w:multiLevelType w:val="hybridMultilevel"/>
    <w:tmpl w:val="41441B0E"/>
    <w:lvl w:ilvl="0" w:tplc="426801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8D62B51"/>
    <w:multiLevelType w:val="hybridMultilevel"/>
    <w:tmpl w:val="76809D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8"/>
    <w:rsid w:val="00005C69"/>
    <w:rsid w:val="000148E4"/>
    <w:rsid w:val="00030089"/>
    <w:rsid w:val="00051E42"/>
    <w:rsid w:val="00074182"/>
    <w:rsid w:val="00077EA3"/>
    <w:rsid w:val="00082BB9"/>
    <w:rsid w:val="0018689B"/>
    <w:rsid w:val="00235B76"/>
    <w:rsid w:val="00277955"/>
    <w:rsid w:val="003A2AD0"/>
    <w:rsid w:val="004023C0"/>
    <w:rsid w:val="00465F75"/>
    <w:rsid w:val="00514929"/>
    <w:rsid w:val="00526B15"/>
    <w:rsid w:val="005B419C"/>
    <w:rsid w:val="005B58FA"/>
    <w:rsid w:val="00694AC0"/>
    <w:rsid w:val="00701A80"/>
    <w:rsid w:val="00727F2A"/>
    <w:rsid w:val="007F34A1"/>
    <w:rsid w:val="00842D19"/>
    <w:rsid w:val="009174CE"/>
    <w:rsid w:val="00A2296F"/>
    <w:rsid w:val="00A5703C"/>
    <w:rsid w:val="00A92A72"/>
    <w:rsid w:val="00AF41D6"/>
    <w:rsid w:val="00B24308"/>
    <w:rsid w:val="00B67808"/>
    <w:rsid w:val="00BB672A"/>
    <w:rsid w:val="00C020FB"/>
    <w:rsid w:val="00CB3213"/>
    <w:rsid w:val="00D51531"/>
    <w:rsid w:val="00D74349"/>
    <w:rsid w:val="00D94070"/>
    <w:rsid w:val="00DE1465"/>
    <w:rsid w:val="00F077A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A0CA"/>
  <w15:chartTrackingRefBased/>
  <w15:docId w15:val="{1D351310-AAAC-4D84-B0C7-DA346CF5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8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A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gia</dc:creator>
  <cp:keywords/>
  <dc:description/>
  <cp:lastModifiedBy>vuong gia</cp:lastModifiedBy>
  <cp:revision>34</cp:revision>
  <cp:lastPrinted>2018-05-28T03:31:00Z</cp:lastPrinted>
  <dcterms:created xsi:type="dcterms:W3CDTF">2018-05-10T07:48:00Z</dcterms:created>
  <dcterms:modified xsi:type="dcterms:W3CDTF">2018-05-31T03:14:00Z</dcterms:modified>
</cp:coreProperties>
</file>