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:rsidTr="00287EDC">
        <w:tc>
          <w:tcPr>
            <w:tcW w:w="3969" w:type="dxa"/>
          </w:tcPr>
          <w:p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:rsidR="00090EEA" w:rsidRDefault="00060BD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_x0000_s1027" style="position:absolute;left:0;text-align:left;z-index:251658240" from="57.5pt,6.05pt" to="129.5pt,6.05pt"/>
              </w:pict>
            </w:r>
          </w:p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     </w:t>
            </w:r>
            <w:r w:rsidR="009E6279">
              <w:rPr>
                <w:rFonts w:ascii="Times New Roman" w:hAnsi="Times New Roman"/>
                <w:sz w:val="26"/>
                <w:szCs w:val="26"/>
              </w:rPr>
              <w:t xml:space="preserve"> /TTr-HĐQT</w:t>
            </w:r>
          </w:p>
        </w:tc>
        <w:tc>
          <w:tcPr>
            <w:tcW w:w="5693" w:type="dxa"/>
          </w:tcPr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976CA8" w:rsidRDefault="00060BDA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>
                <v:line id="_x0000_s1026" style="position:absolute;left:0;text-align:left;z-index:251657216" from="54.6pt,6.05pt" to="215.35pt,6.05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:rsidR="00976CA8" w:rsidRPr="005B5214" w:rsidRDefault="00A521E6" w:rsidP="00062D88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 </w:t>
            </w:r>
            <w:r w:rsidR="00D212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A0660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1B19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1B19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2019</w:t>
            </w:r>
          </w:p>
        </w:tc>
      </w:tr>
    </w:tbl>
    <w:p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76CA8" w:rsidRPr="00976CA8" w:rsidRDefault="00976CA8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:rsidR="004E57D8" w:rsidRPr="0065314F" w:rsidRDefault="004E57D8" w:rsidP="0065314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14F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phân phối lợi nhuận </w:t>
      </w:r>
      <w:r w:rsidR="001B192B">
        <w:rPr>
          <w:rFonts w:ascii="Times New Roman" w:hAnsi="Times New Roman" w:cs="Times New Roman"/>
          <w:b/>
          <w:sz w:val="26"/>
          <w:szCs w:val="26"/>
        </w:rPr>
        <w:t>2018</w:t>
      </w:r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và kế hoạch phân phối lợi nhuận </w:t>
      </w:r>
      <w:r w:rsidR="001B192B">
        <w:rPr>
          <w:rFonts w:ascii="Times New Roman" w:hAnsi="Times New Roman" w:cs="Times New Roman"/>
          <w:b/>
          <w:sz w:val="26"/>
          <w:szCs w:val="26"/>
        </w:rPr>
        <w:t>2019</w:t>
      </w:r>
    </w:p>
    <w:p w:rsidR="004E57D8" w:rsidRPr="0065314F" w:rsidRDefault="004E57D8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ab/>
      </w:r>
    </w:p>
    <w:p w:rsidR="00976CA8" w:rsidRPr="0065314F" w:rsidRDefault="00976CA8" w:rsidP="0065314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 xml:space="preserve">Kính gửi: Đại hội đồng cổ đông </w:t>
      </w:r>
      <w:r w:rsidR="00090EEA" w:rsidRPr="0065314F">
        <w:rPr>
          <w:rFonts w:ascii="Times New Roman" w:hAnsi="Times New Roman" w:cs="Times New Roman"/>
          <w:sz w:val="26"/>
          <w:szCs w:val="26"/>
        </w:rPr>
        <w:t xml:space="preserve">thường niên </w:t>
      </w:r>
      <w:r w:rsidR="009E6279" w:rsidRPr="0065314F">
        <w:rPr>
          <w:rFonts w:ascii="Times New Roman" w:hAnsi="Times New Roman" w:cs="Times New Roman"/>
          <w:sz w:val="26"/>
          <w:szCs w:val="26"/>
        </w:rPr>
        <w:t xml:space="preserve">năm </w:t>
      </w:r>
      <w:r w:rsidR="001B192B">
        <w:rPr>
          <w:rFonts w:ascii="Times New Roman" w:hAnsi="Times New Roman" w:cs="Times New Roman"/>
          <w:sz w:val="26"/>
          <w:szCs w:val="26"/>
        </w:rPr>
        <w:t>2019</w:t>
      </w:r>
      <w:r w:rsidRPr="0065314F">
        <w:rPr>
          <w:rFonts w:ascii="Times New Roman" w:hAnsi="Times New Roman" w:cs="Times New Roman"/>
          <w:sz w:val="26"/>
          <w:szCs w:val="26"/>
        </w:rPr>
        <w:t>.</w:t>
      </w:r>
    </w:p>
    <w:p w:rsidR="00976CA8" w:rsidRPr="0065314F" w:rsidRDefault="00976CA8" w:rsidP="0065314F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CA8" w:rsidRPr="0065314F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>Căn cứ Luật doanh nghiệp số 68/2014/QH13;</w:t>
      </w:r>
    </w:p>
    <w:p w:rsidR="009E6279" w:rsidRPr="0065314F" w:rsidRDefault="009E6279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28/7/</w:t>
      </w:r>
      <w:r w:rsidR="0038633E">
        <w:rPr>
          <w:rFonts w:ascii="Times New Roman" w:hAnsi="Times New Roman" w:cs="Times New Roman"/>
          <w:sz w:val="26"/>
          <w:szCs w:val="26"/>
        </w:rPr>
        <w:t>2016</w:t>
      </w:r>
      <w:r w:rsidRPr="0065314F">
        <w:rPr>
          <w:rFonts w:ascii="Times New Roman" w:hAnsi="Times New Roman" w:cs="Times New Roman"/>
          <w:sz w:val="26"/>
          <w:szCs w:val="26"/>
        </w:rPr>
        <w:t>;</w:t>
      </w:r>
    </w:p>
    <w:p w:rsidR="00976CA8" w:rsidRPr="0065314F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 xml:space="preserve">Căn cứ </w:t>
      </w:r>
      <w:r w:rsidR="009E6279" w:rsidRPr="0065314F">
        <w:rPr>
          <w:rFonts w:ascii="Times New Roman" w:hAnsi="Times New Roman" w:cs="Times New Roman"/>
          <w:sz w:val="26"/>
          <w:szCs w:val="26"/>
        </w:rPr>
        <w:t xml:space="preserve">báo cáo tài chính năm </w:t>
      </w:r>
      <w:r w:rsidR="001B192B">
        <w:rPr>
          <w:rFonts w:ascii="Times New Roman" w:hAnsi="Times New Roman" w:cs="Times New Roman"/>
          <w:sz w:val="26"/>
          <w:szCs w:val="26"/>
        </w:rPr>
        <w:t>2018</w:t>
      </w:r>
      <w:r w:rsidR="009E6279" w:rsidRPr="0065314F">
        <w:rPr>
          <w:rFonts w:ascii="Times New Roman" w:hAnsi="Times New Roman" w:cs="Times New Roman"/>
          <w:sz w:val="26"/>
          <w:szCs w:val="26"/>
        </w:rPr>
        <w:t xml:space="preserve"> của </w:t>
      </w:r>
      <w:r w:rsidRPr="0065314F">
        <w:rPr>
          <w:rFonts w:ascii="Times New Roman" w:hAnsi="Times New Roman" w:cs="Times New Roman"/>
          <w:sz w:val="26"/>
          <w:szCs w:val="26"/>
        </w:rPr>
        <w:t xml:space="preserve">Công ty </w:t>
      </w:r>
      <w:r w:rsidR="009E6279" w:rsidRPr="0065314F">
        <w:rPr>
          <w:rFonts w:ascii="Times New Roman" w:hAnsi="Times New Roman" w:cs="Times New Roman"/>
          <w:sz w:val="26"/>
          <w:szCs w:val="26"/>
        </w:rPr>
        <w:t>Cổ phần Nông lâm</w:t>
      </w:r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9E6279" w:rsidRPr="0065314F">
        <w:rPr>
          <w:rFonts w:ascii="Times New Roman" w:hAnsi="Times New Roman" w:cs="Times New Roman"/>
          <w:sz w:val="26"/>
          <w:szCs w:val="26"/>
        </w:rPr>
        <w:t>n</w:t>
      </w:r>
      <w:r w:rsidRPr="0065314F">
        <w:rPr>
          <w:rFonts w:ascii="Times New Roman" w:hAnsi="Times New Roman" w:cs="Times New Roman"/>
          <w:sz w:val="26"/>
          <w:szCs w:val="26"/>
        </w:rPr>
        <w:t>ghiệp Bình Dương</w:t>
      </w:r>
      <w:r w:rsidR="009E6279" w:rsidRPr="0065314F">
        <w:rPr>
          <w:rFonts w:ascii="Times New Roman" w:hAnsi="Times New Roman" w:cs="Times New Roman"/>
          <w:sz w:val="26"/>
          <w:szCs w:val="26"/>
        </w:rPr>
        <w:t xml:space="preserve"> đã được Công ty TNHH Kiểm toán Sao Việt kiểm toán và xác nhận.</w:t>
      </w:r>
    </w:p>
    <w:p w:rsidR="009E6279" w:rsidRPr="0065314F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65314F">
        <w:rPr>
          <w:rFonts w:ascii="Times New Roman" w:hAnsi="Times New Roman" w:cs="Times New Roman"/>
          <w:sz w:val="26"/>
          <w:szCs w:val="26"/>
        </w:rPr>
        <w:t xml:space="preserve"> công ty </w:t>
      </w:r>
      <w:r w:rsidRPr="0065314F">
        <w:rPr>
          <w:rFonts w:ascii="Times New Roman" w:hAnsi="Times New Roman" w:cs="Times New Roman"/>
          <w:sz w:val="26"/>
          <w:szCs w:val="26"/>
        </w:rPr>
        <w:t xml:space="preserve">xin trân trọng đề nghị </w:t>
      </w:r>
      <w:r w:rsidR="004E57D8" w:rsidRPr="0065314F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65314F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1B192B">
        <w:rPr>
          <w:rFonts w:ascii="Times New Roman" w:hAnsi="Times New Roman" w:cs="Times New Roman"/>
          <w:sz w:val="26"/>
          <w:szCs w:val="26"/>
        </w:rPr>
        <w:t>2019</w:t>
      </w:r>
      <w:r w:rsidRPr="0065314F">
        <w:rPr>
          <w:rFonts w:ascii="Times New Roman" w:hAnsi="Times New Roman" w:cs="Times New Roman"/>
          <w:sz w:val="26"/>
          <w:szCs w:val="26"/>
        </w:rPr>
        <w:t xml:space="preserve"> xem xét thông qua </w:t>
      </w:r>
      <w:r w:rsidR="0017628F" w:rsidRPr="0065314F">
        <w:rPr>
          <w:rFonts w:ascii="Times New Roman" w:hAnsi="Times New Roman" w:cs="Times New Roman"/>
          <w:sz w:val="26"/>
          <w:szCs w:val="26"/>
        </w:rPr>
        <w:t xml:space="preserve">phân phối lợi nhuận năm </w:t>
      </w:r>
      <w:r w:rsidR="001B192B">
        <w:rPr>
          <w:rFonts w:ascii="Times New Roman" w:hAnsi="Times New Roman" w:cs="Times New Roman"/>
          <w:sz w:val="26"/>
          <w:szCs w:val="26"/>
        </w:rPr>
        <w:t>2018</w:t>
      </w:r>
      <w:r w:rsidR="0017628F" w:rsidRPr="0065314F">
        <w:rPr>
          <w:rFonts w:ascii="Times New Roman" w:hAnsi="Times New Roman" w:cs="Times New Roman"/>
          <w:sz w:val="26"/>
          <w:szCs w:val="26"/>
        </w:rPr>
        <w:t xml:space="preserve"> và kế hoạch phân phối lợi nhuận năm </w:t>
      </w:r>
      <w:r w:rsidR="001B192B">
        <w:rPr>
          <w:rFonts w:ascii="Times New Roman" w:hAnsi="Times New Roman" w:cs="Times New Roman"/>
          <w:sz w:val="26"/>
          <w:szCs w:val="26"/>
        </w:rPr>
        <w:t>2019</w:t>
      </w:r>
      <w:r w:rsidR="00CD27BA" w:rsidRPr="0065314F">
        <w:rPr>
          <w:rFonts w:ascii="Times New Roman" w:hAnsi="Times New Roman" w:cs="Times New Roman"/>
          <w:sz w:val="26"/>
          <w:szCs w:val="26"/>
        </w:rPr>
        <w:t>:</w:t>
      </w:r>
    </w:p>
    <w:p w:rsidR="00CD27BA" w:rsidRPr="0065314F" w:rsidRDefault="00CD27BA" w:rsidP="0065314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 xml:space="preserve">Phương án phân phối lợi nhuận năm </w:t>
      </w:r>
      <w:r w:rsidR="001B192B">
        <w:rPr>
          <w:rFonts w:ascii="Times New Roman" w:hAnsi="Times New Roman" w:cs="Times New Roman"/>
          <w:sz w:val="26"/>
          <w:szCs w:val="26"/>
        </w:rPr>
        <w:t>2018</w:t>
      </w:r>
      <w:r w:rsidRPr="0065314F">
        <w:rPr>
          <w:rFonts w:ascii="Times New Roman" w:hAnsi="Times New Roman" w:cs="Times New Roman"/>
          <w:sz w:val="26"/>
          <w:szCs w:val="26"/>
        </w:rPr>
        <w:t>:</w:t>
      </w:r>
    </w:p>
    <w:p w:rsidR="00CD27BA" w:rsidRPr="0065314F" w:rsidRDefault="00CD27BA" w:rsidP="0065314F">
      <w:pPr>
        <w:pStyle w:val="ListParagraph"/>
        <w:spacing w:after="0"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 xml:space="preserve">Theo nghị quyết Đại hội đồng cổ đông năm </w:t>
      </w:r>
      <w:r w:rsidR="001B192B">
        <w:rPr>
          <w:rFonts w:ascii="Times New Roman" w:hAnsi="Times New Roman" w:cs="Times New Roman"/>
          <w:sz w:val="26"/>
          <w:szCs w:val="26"/>
        </w:rPr>
        <w:t>2018</w:t>
      </w:r>
      <w:r w:rsidRPr="0065314F">
        <w:rPr>
          <w:rFonts w:ascii="Times New Roman" w:hAnsi="Times New Roman" w:cs="Times New Roman"/>
          <w:sz w:val="26"/>
          <w:szCs w:val="26"/>
        </w:rPr>
        <w:t xml:space="preserve">, năm </w:t>
      </w:r>
      <w:r w:rsidR="001B192B">
        <w:rPr>
          <w:rFonts w:ascii="Times New Roman" w:hAnsi="Times New Roman" w:cs="Times New Roman"/>
          <w:sz w:val="26"/>
          <w:szCs w:val="26"/>
        </w:rPr>
        <w:t>2018</w:t>
      </w:r>
      <w:r w:rsidRPr="0065314F">
        <w:rPr>
          <w:rFonts w:ascii="Times New Roman" w:hAnsi="Times New Roman" w:cs="Times New Roman"/>
          <w:sz w:val="26"/>
          <w:szCs w:val="26"/>
        </w:rPr>
        <w:t xml:space="preserve"> công ty không chi trả cổ tức. Công ty xem xét trích lập các quỹ như sau: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708"/>
        <w:gridCol w:w="1844"/>
      </w:tblGrid>
      <w:tr w:rsidR="00F93F7F" w:rsidRPr="0065314F" w:rsidTr="00060BDA">
        <w:tc>
          <w:tcPr>
            <w:tcW w:w="567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6C23E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812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708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1844" w:type="dxa"/>
          </w:tcPr>
          <w:p w:rsidR="00F93F7F" w:rsidRPr="0065314F" w:rsidRDefault="00060BDA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Mức trích</w:t>
            </w:r>
          </w:p>
        </w:tc>
      </w:tr>
      <w:tr w:rsidR="00F93F7F" w:rsidRPr="0065314F" w:rsidTr="00060BDA">
        <w:tc>
          <w:tcPr>
            <w:tcW w:w="567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F93F7F" w:rsidRPr="0065314F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708" w:type="dxa"/>
          </w:tcPr>
          <w:p w:rsidR="00F93F7F" w:rsidRPr="0065314F" w:rsidRDefault="00F93F7F" w:rsidP="006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844" w:type="dxa"/>
          </w:tcPr>
          <w:p w:rsidR="00F93F7F" w:rsidRPr="0065314F" w:rsidRDefault="00AC2525" w:rsidP="00836F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2588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836FAE" w:rsidRPr="0065314F" w:rsidTr="00060BDA">
        <w:tc>
          <w:tcPr>
            <w:tcW w:w="567" w:type="dxa"/>
          </w:tcPr>
          <w:p w:rsidR="00836FAE" w:rsidRPr="0065314F" w:rsidRDefault="00836FAE" w:rsidP="00836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836FAE" w:rsidRPr="0065314F" w:rsidRDefault="00836FAE" w:rsidP="00836F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708" w:type="dxa"/>
          </w:tcPr>
          <w:p w:rsidR="00836FAE" w:rsidRPr="0065314F" w:rsidRDefault="00836FAE" w:rsidP="006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844" w:type="dxa"/>
          </w:tcPr>
          <w:p w:rsidR="00836FAE" w:rsidRPr="0065314F" w:rsidRDefault="00625888" w:rsidP="00836F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1.103</w:t>
            </w:r>
          </w:p>
        </w:tc>
      </w:tr>
      <w:tr w:rsidR="00F93F7F" w:rsidRPr="0065314F" w:rsidTr="00060BDA">
        <w:tc>
          <w:tcPr>
            <w:tcW w:w="567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F93F7F" w:rsidRPr="0065314F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Trích lập quỹ:</w:t>
            </w:r>
          </w:p>
        </w:tc>
        <w:tc>
          <w:tcPr>
            <w:tcW w:w="708" w:type="dxa"/>
          </w:tcPr>
          <w:p w:rsidR="00F93F7F" w:rsidRPr="0065314F" w:rsidRDefault="00F93F7F" w:rsidP="006C2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F93F7F" w:rsidRPr="0065314F" w:rsidRDefault="00F93F7F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E9D" w:rsidRPr="0065314F" w:rsidTr="00060BDA">
        <w:tc>
          <w:tcPr>
            <w:tcW w:w="567" w:type="dxa"/>
          </w:tcPr>
          <w:p w:rsidR="00B37E9D" w:rsidRPr="0065314F" w:rsidRDefault="00B37E9D" w:rsidP="00B37E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B37E9D" w:rsidRPr="0065314F" w:rsidRDefault="00B37E9D" w:rsidP="00B37E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Chuyển lỗ năm </w:t>
            </w:r>
            <w:r w:rsidR="008121E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0D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21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B37E9D" w:rsidRPr="0065314F" w:rsidRDefault="00B37E9D" w:rsidP="00C90D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844" w:type="dxa"/>
          </w:tcPr>
          <w:p w:rsidR="00B37E9D" w:rsidRPr="0065314F" w:rsidRDefault="00625888" w:rsidP="00B37E9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1.103</w:t>
            </w:r>
          </w:p>
        </w:tc>
      </w:tr>
      <w:tr w:rsidR="00B37E9D" w:rsidRPr="0065314F" w:rsidTr="00060BDA">
        <w:tc>
          <w:tcPr>
            <w:tcW w:w="567" w:type="dxa"/>
          </w:tcPr>
          <w:p w:rsidR="00B37E9D" w:rsidRPr="0065314F" w:rsidRDefault="00B37E9D" w:rsidP="00B37E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B37E9D" w:rsidRPr="0065314F" w:rsidRDefault="00B37E9D" w:rsidP="00B37E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Quỹ đầu tư phát triển</w:t>
            </w:r>
          </w:p>
        </w:tc>
        <w:tc>
          <w:tcPr>
            <w:tcW w:w="708" w:type="dxa"/>
          </w:tcPr>
          <w:p w:rsidR="00B37E9D" w:rsidRPr="0065314F" w:rsidRDefault="00B37E9D" w:rsidP="00C90D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844" w:type="dxa"/>
          </w:tcPr>
          <w:p w:rsidR="00B37E9D" w:rsidRPr="0065314F" w:rsidRDefault="00B37E9D" w:rsidP="00B37E9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E9D" w:rsidRPr="0065314F" w:rsidTr="00060BDA">
        <w:tc>
          <w:tcPr>
            <w:tcW w:w="567" w:type="dxa"/>
          </w:tcPr>
          <w:p w:rsidR="00B37E9D" w:rsidRPr="0065314F" w:rsidRDefault="008121EF" w:rsidP="00B37E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B37E9D" w:rsidRPr="005324BB" w:rsidRDefault="00B37E9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Lợi nhuận còn lại chuyển sang năm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90D1D">
              <w:rPr>
                <w:rFonts w:ascii="Times New Roman" w:hAnsi="Times New Roman" w:cs="Times New Roman"/>
                <w:sz w:val="26"/>
                <w:szCs w:val="26"/>
              </w:rPr>
              <w:t xml:space="preserve"> (lỗ lũy kế từ năm 2017)</w:t>
            </w:r>
            <w:r w:rsidR="005324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(*)</w:t>
            </w:r>
          </w:p>
        </w:tc>
        <w:tc>
          <w:tcPr>
            <w:tcW w:w="708" w:type="dxa"/>
          </w:tcPr>
          <w:p w:rsidR="00B37E9D" w:rsidRPr="0065314F" w:rsidRDefault="00B37E9D" w:rsidP="00C90D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844" w:type="dxa"/>
          </w:tcPr>
          <w:p w:rsidR="00B37E9D" w:rsidRPr="0065314F" w:rsidRDefault="008121EF" w:rsidP="00B37E9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</w:t>
            </w:r>
            <w:r w:rsidR="0062588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37BF0" w:rsidRDefault="005324BB" w:rsidP="00B44268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(*)</w:t>
      </w:r>
      <w:r w:rsidR="00B4426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Lỗ năm 2017 theo kết luận của kiểm toán nhà nước 2.078.545.444 đồng, tăng 11.789.856 đồng so với Báo cáo tài chính năm 2017.</w:t>
      </w:r>
    </w:p>
    <w:p w:rsidR="00536DF1" w:rsidRDefault="00536DF1" w:rsidP="00B44268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36DF1" w:rsidRDefault="00536DF1" w:rsidP="00B44268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36DF1" w:rsidRPr="005324BB" w:rsidRDefault="00536DF1" w:rsidP="00B44268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CD27BA" w:rsidRPr="0065314F" w:rsidRDefault="001307F1" w:rsidP="0065314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314F">
        <w:rPr>
          <w:rFonts w:ascii="Times New Roman" w:hAnsi="Times New Roman" w:cs="Times New Roman"/>
          <w:sz w:val="26"/>
          <w:szCs w:val="26"/>
        </w:rPr>
        <w:lastRenderedPageBreak/>
        <w:t xml:space="preserve">Kế hoạch phân phối lợi nhuận và chi trả cổ tức năm </w:t>
      </w:r>
      <w:r w:rsidR="001B192B">
        <w:rPr>
          <w:rFonts w:ascii="Times New Roman" w:hAnsi="Times New Roman" w:cs="Times New Roman"/>
          <w:sz w:val="26"/>
          <w:szCs w:val="26"/>
        </w:rPr>
        <w:t>2019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0"/>
        <w:gridCol w:w="677"/>
        <w:gridCol w:w="1061"/>
        <w:gridCol w:w="1134"/>
      </w:tblGrid>
      <w:tr w:rsidR="000D1D97" w:rsidRPr="0065314F" w:rsidTr="00536DF1">
        <w:tc>
          <w:tcPr>
            <w:tcW w:w="567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5433578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6C23E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350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1061" w:type="dxa"/>
          </w:tcPr>
          <w:p w:rsidR="007C4528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Tỷ lệ </w:t>
            </w:r>
          </w:p>
          <w:p w:rsidR="006C23E1" w:rsidRDefault="006C23E1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0D1D97">
              <w:rPr>
                <w:rFonts w:ascii="Times New Roman" w:hAnsi="Times New Roman" w:cs="Times New Roman"/>
                <w:b/>
                <w:sz w:val="26"/>
                <w:szCs w:val="26"/>
              </w:rPr>
              <w:t>rích</w:t>
            </w:r>
          </w:p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lập </w:t>
            </w:r>
            <w:r w:rsidRPr="00536DF1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1134" w:type="dxa"/>
          </w:tcPr>
          <w:p w:rsidR="000D1D97" w:rsidRPr="0065314F" w:rsidRDefault="00060BDA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Mức trích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1A0FB8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1A0FB8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  <w:r w:rsidR="00536D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A0F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Trích lập quỹ: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Chuyển lỗ lũy kế năm 2017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Pr="0065314F" w:rsidRDefault="00536DF1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8,</w:t>
            </w:r>
            <w:r w:rsidR="001A0FB8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</w:t>
            </w:r>
            <w:r w:rsidR="001375FD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A0FB8">
              <w:rPr>
                <w:rFonts w:ascii="Times New Roman" w:hAnsi="Times New Roman" w:cs="Times New Roman"/>
                <w:sz w:val="26"/>
                <w:szCs w:val="26"/>
              </w:rPr>
              <w:t>74,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Quỹ đầu tư phát triển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Default="00536DF1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81,6</w:t>
            </w:r>
            <w:r w:rsidR="001375FD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r w:rsidR="001A0FB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5FD">
              <w:rPr>
                <w:rFonts w:ascii="Times New Roman" w:hAnsi="Times New Roman" w:cs="Times New Roman"/>
                <w:sz w:val="26"/>
                <w:szCs w:val="26"/>
              </w:rPr>
              <w:t>Quỹ khen thưởng phúc lợi (trích 3 tháng lương)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Default="00536DF1" w:rsidP="001375F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7%</w:t>
            </w:r>
          </w:p>
        </w:tc>
        <w:tc>
          <w:tcPr>
            <w:tcW w:w="1134" w:type="dxa"/>
          </w:tcPr>
          <w:p w:rsidR="001375FD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A0F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A0FB8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1375FD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5FD">
              <w:rPr>
                <w:rFonts w:ascii="Times New Roman" w:hAnsi="Times New Roman" w:cs="Times New Roman"/>
                <w:sz w:val="26"/>
                <w:szCs w:val="26"/>
              </w:rPr>
              <w:t xml:space="preserve">Quỹ thưởng người quản lý, kiểm soát viên </w:t>
            </w:r>
          </w:p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5FD">
              <w:rPr>
                <w:rFonts w:ascii="Times New Roman" w:hAnsi="Times New Roman" w:cs="Times New Roman"/>
                <w:sz w:val="26"/>
                <w:szCs w:val="26"/>
              </w:rPr>
              <w:t>(trích 1,5 tháng lương)</w:t>
            </w:r>
          </w:p>
        </w:tc>
        <w:tc>
          <w:tcPr>
            <w:tcW w:w="677" w:type="dxa"/>
          </w:tcPr>
          <w:p w:rsidR="001375FD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536DF1" w:rsidRDefault="00536DF1" w:rsidP="001375F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  <w:p w:rsidR="001375FD" w:rsidRDefault="00536DF1" w:rsidP="001375F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1,4%</w:t>
            </w:r>
          </w:p>
        </w:tc>
        <w:tc>
          <w:tcPr>
            <w:tcW w:w="1134" w:type="dxa"/>
          </w:tcPr>
          <w:p w:rsidR="001375FD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5FD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36DF1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Phụng dưỡng mẹ Việt Nam Anh Hùng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Default="00536DF1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0,5</w:t>
            </w:r>
            <w:r w:rsidR="001375FD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1375FD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1375FD" w:rsidRPr="00F7003B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Tài trợ suất ăn bệnh nhân nghèo huyện Phú Giáo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Default="00536DF1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0,3</w:t>
            </w:r>
            <w:r w:rsidR="001375FD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1375FD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1375FD" w:rsidRPr="00F7003B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Khoản chi ủng hộ công tác xã hội tại địa phương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Default="00536DF1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0,</w:t>
            </w:r>
            <w:r w:rsidR="001A0FB8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</w:t>
            </w:r>
            <w:r w:rsidR="001375FD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1375FD" w:rsidRDefault="001A0FB8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375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75FD" w:rsidRPr="0065314F" w:rsidTr="00536DF1">
        <w:tc>
          <w:tcPr>
            <w:tcW w:w="56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0" w:type="dxa"/>
          </w:tcPr>
          <w:p w:rsidR="001375FD" w:rsidRPr="0065314F" w:rsidRDefault="001375FD" w:rsidP="001375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Lợi nhuận còn lại chuyển sang năm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677" w:type="dxa"/>
          </w:tcPr>
          <w:p w:rsidR="001375FD" w:rsidRPr="0065314F" w:rsidRDefault="001375FD" w:rsidP="001375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</w:p>
        </w:tc>
        <w:tc>
          <w:tcPr>
            <w:tcW w:w="1061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5FD" w:rsidRPr="0065314F" w:rsidRDefault="001375FD" w:rsidP="001375F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bookmarkEnd w:id="1"/>
    </w:tbl>
    <w:p w:rsidR="001307F1" w:rsidRPr="0065314F" w:rsidRDefault="001307F1" w:rsidP="0065314F">
      <w:pPr>
        <w:pStyle w:val="ListParagraph"/>
        <w:spacing w:after="0" w:line="360" w:lineRule="auto"/>
        <w:ind w:left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9E6279" w:rsidRPr="0065314F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:rsidR="004E57D8" w:rsidRPr="0065314F" w:rsidRDefault="004E57D8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1"/>
      </w:tblGrid>
      <w:tr w:rsidR="00976CA8" w:rsidRPr="0065314F" w:rsidTr="00287EDC">
        <w:tc>
          <w:tcPr>
            <w:tcW w:w="4952" w:type="dxa"/>
          </w:tcPr>
          <w:p w:rsidR="00976CA8" w:rsidRPr="0065314F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976CA8" w:rsidRPr="0065314F" w:rsidRDefault="00976CA8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="009E6279"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HỘI ĐỒNG QUẢN TRỊ</w:t>
            </w:r>
          </w:p>
          <w:p w:rsidR="00976CA8" w:rsidRPr="0065314F" w:rsidRDefault="009E6279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976CA8" w:rsidRPr="0065314F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3657" w:rsidRPr="0065314F" w:rsidRDefault="00413657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65314F" w:rsidSect="00536DF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60BDA"/>
    <w:rsid w:val="00062D88"/>
    <w:rsid w:val="00090EEA"/>
    <w:rsid w:val="000D1D97"/>
    <w:rsid w:val="000F61B7"/>
    <w:rsid w:val="001307F1"/>
    <w:rsid w:val="001375FD"/>
    <w:rsid w:val="001410E9"/>
    <w:rsid w:val="00150838"/>
    <w:rsid w:val="0017628F"/>
    <w:rsid w:val="001A0FB8"/>
    <w:rsid w:val="001B192B"/>
    <w:rsid w:val="001E0EAB"/>
    <w:rsid w:val="00214300"/>
    <w:rsid w:val="0038633E"/>
    <w:rsid w:val="003C532A"/>
    <w:rsid w:val="003E3ED0"/>
    <w:rsid w:val="00413657"/>
    <w:rsid w:val="00461AE3"/>
    <w:rsid w:val="0046286B"/>
    <w:rsid w:val="00487208"/>
    <w:rsid w:val="004E57D8"/>
    <w:rsid w:val="005324BB"/>
    <w:rsid w:val="00536DF1"/>
    <w:rsid w:val="00541AA8"/>
    <w:rsid w:val="00560AC7"/>
    <w:rsid w:val="005D43C8"/>
    <w:rsid w:val="00601040"/>
    <w:rsid w:val="00625888"/>
    <w:rsid w:val="0065314F"/>
    <w:rsid w:val="006C23E1"/>
    <w:rsid w:val="00736E38"/>
    <w:rsid w:val="00783BEC"/>
    <w:rsid w:val="007B2204"/>
    <w:rsid w:val="007C4528"/>
    <w:rsid w:val="007D0E85"/>
    <w:rsid w:val="008121EF"/>
    <w:rsid w:val="00836FAE"/>
    <w:rsid w:val="00837BF0"/>
    <w:rsid w:val="008D4A9E"/>
    <w:rsid w:val="0094513D"/>
    <w:rsid w:val="009709BC"/>
    <w:rsid w:val="00976CA8"/>
    <w:rsid w:val="00980934"/>
    <w:rsid w:val="009E6279"/>
    <w:rsid w:val="009F1643"/>
    <w:rsid w:val="00A06607"/>
    <w:rsid w:val="00A521E6"/>
    <w:rsid w:val="00A65BC4"/>
    <w:rsid w:val="00AA2682"/>
    <w:rsid w:val="00AC2525"/>
    <w:rsid w:val="00AD7B2E"/>
    <w:rsid w:val="00AF2944"/>
    <w:rsid w:val="00B30F10"/>
    <w:rsid w:val="00B37E9D"/>
    <w:rsid w:val="00B44268"/>
    <w:rsid w:val="00BD0DF7"/>
    <w:rsid w:val="00C4629A"/>
    <w:rsid w:val="00C86D6E"/>
    <w:rsid w:val="00C90D1D"/>
    <w:rsid w:val="00CA2B6A"/>
    <w:rsid w:val="00CD27BA"/>
    <w:rsid w:val="00D0485F"/>
    <w:rsid w:val="00D21255"/>
    <w:rsid w:val="00E461AE"/>
    <w:rsid w:val="00F7003B"/>
    <w:rsid w:val="00F7234C"/>
    <w:rsid w:val="00F93F7F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9410F9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vuong gia</cp:lastModifiedBy>
  <cp:revision>51</cp:revision>
  <cp:lastPrinted>2016-07-08T02:32:00Z</cp:lastPrinted>
  <dcterms:created xsi:type="dcterms:W3CDTF">2016-06-29T07:12:00Z</dcterms:created>
  <dcterms:modified xsi:type="dcterms:W3CDTF">2019-04-06T02:04:00Z</dcterms:modified>
</cp:coreProperties>
</file>