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0" w:type="dxa"/>
        <w:tblInd w:w="-176" w:type="dxa"/>
        <w:tblLook w:val="00A0" w:firstRow="1" w:lastRow="0" w:firstColumn="1" w:lastColumn="0" w:noHBand="0" w:noVBand="0"/>
      </w:tblPr>
      <w:tblGrid>
        <w:gridCol w:w="3969"/>
        <w:gridCol w:w="5671"/>
      </w:tblGrid>
      <w:tr w:rsidR="00976CA8" w:rsidRPr="00676D79" w14:paraId="4A3A2405" w14:textId="77777777" w:rsidTr="007E0555">
        <w:tc>
          <w:tcPr>
            <w:tcW w:w="3969" w:type="dxa"/>
          </w:tcPr>
          <w:p w14:paraId="5BDD7318" w14:textId="77777777" w:rsidR="00976CA8" w:rsidRPr="00676D79" w:rsidRDefault="00090EEA" w:rsidP="0035282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CÔNG TY CP NÔNG</w:t>
            </w:r>
            <w:r w:rsidR="00976CA8"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</w:p>
          <w:p w14:paraId="59953762" w14:textId="684AD2A5" w:rsidR="00976CA8" w:rsidRPr="00676D79" w:rsidRDefault="008619BC" w:rsidP="0035282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noProof/>
                <w:sz w:val="26"/>
                <w:szCs w:val="26"/>
                <w:lang w:val="vi-VN" w:eastAsia="vi-VN"/>
              </w:rPr>
              <w:pict w14:anchorId="214AA0FE">
                <v:line id="_x0000_s1027" style="position:absolute;left:0;text-align:left;z-index:251658240" from="57.5pt,16.95pt" to="129.5pt,16.95pt"/>
              </w:pict>
            </w:r>
            <w:r w:rsidR="00976CA8"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LÂM NGHIỆP BÌNH DƯƠNG</w:t>
            </w:r>
          </w:p>
          <w:p w14:paraId="16345253" w14:textId="2A09FB17" w:rsidR="00976CA8" w:rsidRPr="00676D79" w:rsidRDefault="00976CA8" w:rsidP="0035282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  <w:r w:rsidR="007B2204" w:rsidRPr="00676D79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990847" w:rsidRPr="00676D79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 xml:space="preserve">       </w:t>
            </w:r>
            <w:r w:rsidR="009E6279" w:rsidRPr="00676D79">
              <w:rPr>
                <w:rFonts w:ascii="Times New Roman" w:hAnsi="Times New Roman" w:cs="Times New Roman"/>
                <w:sz w:val="26"/>
                <w:szCs w:val="26"/>
              </w:rPr>
              <w:t>/TTr-HĐQT</w:t>
            </w:r>
          </w:p>
        </w:tc>
        <w:tc>
          <w:tcPr>
            <w:tcW w:w="5671" w:type="dxa"/>
          </w:tcPr>
          <w:p w14:paraId="7046FD83" w14:textId="77777777" w:rsidR="00976CA8" w:rsidRPr="00676D79" w:rsidRDefault="00976CA8" w:rsidP="0035282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CỘNG HÒA XÃ HỘI CHỦ NGHĨA VIỆT NAM</w:t>
            </w:r>
          </w:p>
          <w:p w14:paraId="6E786FBE" w14:textId="5B836690" w:rsidR="00976CA8" w:rsidRPr="00676D79" w:rsidRDefault="008619BC" w:rsidP="00352825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8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  <w:lang w:val="vi-VN" w:eastAsia="vi-VN"/>
              </w:rPr>
              <w:pict w14:anchorId="470EFF06">
                <v:line id="_x0000_s1026" style="position:absolute;left:0;text-align:left;z-index:251657216" from="53.85pt,16.95pt" to="214.6pt,16.95pt"/>
              </w:pict>
            </w:r>
            <w:r w:rsidR="00976CA8" w:rsidRPr="00676D7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Độc lập – Tự do – Hạnh phúc</w:t>
            </w:r>
          </w:p>
          <w:p w14:paraId="1420D28D" w14:textId="6B7851D1" w:rsidR="00976CA8" w:rsidRPr="00676D79" w:rsidRDefault="00A521E6" w:rsidP="00257CE0">
            <w:pPr>
              <w:autoSpaceDE w:val="0"/>
              <w:autoSpaceDN w:val="0"/>
              <w:adjustRightInd w:val="0"/>
              <w:spacing w:beforeLines="60" w:before="144" w:afterLines="60" w:after="144" w:line="240" w:lineRule="auto"/>
              <w:ind w:left="-80"/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Bình Dương, ngày</w:t>
            </w:r>
            <w:r w:rsidR="008619B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24 </w:t>
            </w:r>
            <w:r w:rsidR="00990847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76CA8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tháng</w:t>
            </w:r>
            <w:r w:rsidR="00B00A83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8619BC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5 </w:t>
            </w:r>
            <w:r w:rsidR="00990847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  <w:lang w:val="vi-VN"/>
              </w:rPr>
              <w:t xml:space="preserve"> </w:t>
            </w:r>
            <w:r w:rsidR="00976CA8" w:rsidRPr="00676D79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năm </w:t>
            </w:r>
            <w:r w:rsidR="00CA00F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2022</w:t>
            </w:r>
          </w:p>
        </w:tc>
      </w:tr>
    </w:tbl>
    <w:p w14:paraId="02352CA8" w14:textId="5FF05084" w:rsidR="00976CA8" w:rsidRPr="00676D79" w:rsidRDefault="00976CA8" w:rsidP="00427981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D79">
        <w:rPr>
          <w:rFonts w:ascii="Times New Roman" w:hAnsi="Times New Roman" w:cs="Times New Roman"/>
          <w:b/>
          <w:sz w:val="26"/>
          <w:szCs w:val="26"/>
        </w:rPr>
        <w:t>TỜ TRÌNH</w:t>
      </w:r>
    </w:p>
    <w:p w14:paraId="4CFEEB7E" w14:textId="73EF482D" w:rsidR="004E57D8" w:rsidRPr="00676D79" w:rsidRDefault="004E57D8" w:rsidP="0035282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D79">
        <w:rPr>
          <w:rFonts w:ascii="Times New Roman" w:hAnsi="Times New Roman" w:cs="Times New Roman"/>
          <w:b/>
          <w:sz w:val="26"/>
          <w:szCs w:val="26"/>
        </w:rPr>
        <w:t xml:space="preserve">V/v </w:t>
      </w:r>
      <w:r w:rsidR="0017628F" w:rsidRPr="00676D79">
        <w:rPr>
          <w:rFonts w:ascii="Times New Roman" w:hAnsi="Times New Roman" w:cs="Times New Roman"/>
          <w:b/>
          <w:sz w:val="26"/>
          <w:szCs w:val="26"/>
        </w:rPr>
        <w:t xml:space="preserve">phân phối lợi nhuận </w:t>
      </w:r>
      <w:r w:rsidR="00CA00FA">
        <w:rPr>
          <w:rFonts w:ascii="Times New Roman" w:hAnsi="Times New Roman" w:cs="Times New Roman"/>
          <w:b/>
          <w:sz w:val="26"/>
          <w:szCs w:val="26"/>
        </w:rPr>
        <w:t>2021</w:t>
      </w:r>
      <w:r w:rsidR="0017628F" w:rsidRPr="00676D79">
        <w:rPr>
          <w:rFonts w:ascii="Times New Roman" w:hAnsi="Times New Roman" w:cs="Times New Roman"/>
          <w:b/>
          <w:sz w:val="26"/>
          <w:szCs w:val="26"/>
        </w:rPr>
        <w:t xml:space="preserve"> và kế hoạch phân phối lợi nhuận </w:t>
      </w:r>
      <w:r w:rsidR="00CA00FA">
        <w:rPr>
          <w:rFonts w:ascii="Times New Roman" w:hAnsi="Times New Roman" w:cs="Times New Roman"/>
          <w:b/>
          <w:sz w:val="26"/>
          <w:szCs w:val="26"/>
        </w:rPr>
        <w:t>2022</w:t>
      </w:r>
    </w:p>
    <w:p w14:paraId="6A9D1F09" w14:textId="77777777" w:rsidR="004E57D8" w:rsidRPr="00676D79" w:rsidRDefault="004E57D8" w:rsidP="0035282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ab/>
      </w:r>
    </w:p>
    <w:p w14:paraId="28BC7A15" w14:textId="760CCAA5" w:rsidR="00976CA8" w:rsidRPr="00676D79" w:rsidRDefault="00976CA8" w:rsidP="00352825">
      <w:pPr>
        <w:spacing w:beforeLines="60" w:before="144" w:afterLines="60" w:after="144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Kính gửi: Đại hội đồng cổ đông </w:t>
      </w:r>
      <w:r w:rsidR="00090EEA" w:rsidRPr="00676D79">
        <w:rPr>
          <w:rFonts w:ascii="Times New Roman" w:hAnsi="Times New Roman" w:cs="Times New Roman"/>
          <w:sz w:val="26"/>
          <w:szCs w:val="26"/>
        </w:rPr>
        <w:t xml:space="preserve">thường niên 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năm </w:t>
      </w:r>
      <w:r w:rsidR="00CA00FA">
        <w:rPr>
          <w:rFonts w:ascii="Times New Roman" w:hAnsi="Times New Roman" w:cs="Times New Roman"/>
          <w:sz w:val="26"/>
          <w:szCs w:val="26"/>
        </w:rPr>
        <w:t>2022</w:t>
      </w:r>
      <w:r w:rsidRPr="00676D79">
        <w:rPr>
          <w:rFonts w:ascii="Times New Roman" w:hAnsi="Times New Roman" w:cs="Times New Roman"/>
          <w:sz w:val="26"/>
          <w:szCs w:val="26"/>
        </w:rPr>
        <w:t>.</w:t>
      </w:r>
    </w:p>
    <w:p w14:paraId="61A43AFD" w14:textId="77777777" w:rsidR="00976CA8" w:rsidRPr="00676D79" w:rsidRDefault="00976CA8" w:rsidP="0035282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477E10F" w14:textId="753198D0" w:rsidR="00976CA8" w:rsidRPr="00BE5B0B" w:rsidRDefault="00976CA8" w:rsidP="00352825">
      <w:pPr>
        <w:pStyle w:val="oancuaDanhsach"/>
        <w:numPr>
          <w:ilvl w:val="0"/>
          <w:numId w:val="2"/>
        </w:numPr>
        <w:spacing w:beforeLines="60" w:before="144" w:afterLines="60" w:after="144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BE5B0B">
        <w:rPr>
          <w:rFonts w:ascii="Times New Roman" w:hAnsi="Times New Roman" w:cs="Times New Roman"/>
          <w:sz w:val="26"/>
          <w:szCs w:val="26"/>
        </w:rPr>
        <w:t xml:space="preserve">Căn cứ Luật doanh nghiệp số </w:t>
      </w:r>
      <w:r w:rsidR="00BE5B0B" w:rsidRPr="00BE5B0B">
        <w:rPr>
          <w:rFonts w:ascii="Times New Roman" w:hAnsi="Times New Roman" w:cs="Times New Roman"/>
          <w:sz w:val="26"/>
          <w:szCs w:val="26"/>
        </w:rPr>
        <w:t>59/</w:t>
      </w:r>
      <w:r w:rsidR="00CA00FA">
        <w:rPr>
          <w:rFonts w:ascii="Times New Roman" w:hAnsi="Times New Roman" w:cs="Times New Roman"/>
          <w:sz w:val="26"/>
          <w:szCs w:val="26"/>
        </w:rPr>
        <w:t>2020</w:t>
      </w:r>
      <w:r w:rsidR="00BE5B0B" w:rsidRPr="00BE5B0B">
        <w:rPr>
          <w:rFonts w:ascii="Times New Roman" w:hAnsi="Times New Roman" w:cs="Times New Roman"/>
          <w:sz w:val="26"/>
          <w:szCs w:val="26"/>
        </w:rPr>
        <w:t>/QH14</w:t>
      </w:r>
      <w:r w:rsidRPr="00BE5B0B">
        <w:rPr>
          <w:rFonts w:ascii="Times New Roman" w:hAnsi="Times New Roman" w:cs="Times New Roman"/>
          <w:sz w:val="26"/>
          <w:szCs w:val="26"/>
        </w:rPr>
        <w:t>;</w:t>
      </w:r>
    </w:p>
    <w:p w14:paraId="360204E5" w14:textId="74239F08" w:rsidR="009E6279" w:rsidRPr="00676D79" w:rsidRDefault="009E6279" w:rsidP="00352825">
      <w:pPr>
        <w:pStyle w:val="oancuaDanhsach"/>
        <w:numPr>
          <w:ilvl w:val="0"/>
          <w:numId w:val="2"/>
        </w:numPr>
        <w:spacing w:beforeLines="60" w:before="144" w:afterLines="60" w:after="144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Căn cứ Điều lệ Công ty Cổ phần Nông lâm nghiệp Bình Dương ngày 2</w:t>
      </w:r>
      <w:r w:rsidR="00CA00FA">
        <w:rPr>
          <w:rFonts w:ascii="Times New Roman" w:hAnsi="Times New Roman" w:cs="Times New Roman"/>
          <w:sz w:val="26"/>
          <w:szCs w:val="26"/>
        </w:rPr>
        <w:t>6</w:t>
      </w:r>
      <w:r w:rsidRPr="00676D79">
        <w:rPr>
          <w:rFonts w:ascii="Times New Roman" w:hAnsi="Times New Roman" w:cs="Times New Roman"/>
          <w:sz w:val="26"/>
          <w:szCs w:val="26"/>
        </w:rPr>
        <w:t>/</w:t>
      </w:r>
      <w:r w:rsidR="00CA00FA">
        <w:rPr>
          <w:rFonts w:ascii="Times New Roman" w:hAnsi="Times New Roman" w:cs="Times New Roman"/>
          <w:sz w:val="26"/>
          <w:szCs w:val="26"/>
        </w:rPr>
        <w:t>3</w:t>
      </w:r>
      <w:r w:rsidRPr="00676D79">
        <w:rPr>
          <w:rFonts w:ascii="Times New Roman" w:hAnsi="Times New Roman" w:cs="Times New Roman"/>
          <w:sz w:val="26"/>
          <w:szCs w:val="26"/>
        </w:rPr>
        <w:t>/</w:t>
      </w:r>
      <w:r w:rsidR="0038633E" w:rsidRPr="00676D79">
        <w:rPr>
          <w:rFonts w:ascii="Times New Roman" w:hAnsi="Times New Roman" w:cs="Times New Roman"/>
          <w:sz w:val="26"/>
          <w:szCs w:val="26"/>
        </w:rPr>
        <w:t>20</w:t>
      </w:r>
      <w:r w:rsidR="00CA00FA">
        <w:rPr>
          <w:rFonts w:ascii="Times New Roman" w:hAnsi="Times New Roman" w:cs="Times New Roman"/>
          <w:sz w:val="26"/>
          <w:szCs w:val="26"/>
        </w:rPr>
        <w:t>21</w:t>
      </w:r>
      <w:r w:rsidRPr="00676D79">
        <w:rPr>
          <w:rFonts w:ascii="Times New Roman" w:hAnsi="Times New Roman" w:cs="Times New Roman"/>
          <w:sz w:val="26"/>
          <w:szCs w:val="26"/>
        </w:rPr>
        <w:t>;</w:t>
      </w:r>
    </w:p>
    <w:p w14:paraId="06829631" w14:textId="112F2795" w:rsidR="00976CA8" w:rsidRPr="00676D79" w:rsidRDefault="00976CA8" w:rsidP="00352825">
      <w:pPr>
        <w:pStyle w:val="oancuaDanhsach"/>
        <w:numPr>
          <w:ilvl w:val="0"/>
          <w:numId w:val="2"/>
        </w:numPr>
        <w:spacing w:beforeLines="60" w:before="144" w:afterLines="60" w:after="144" w:line="240" w:lineRule="auto"/>
        <w:ind w:left="0" w:firstLine="357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Căn cứ 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báo cáo tài chính năm </w:t>
      </w:r>
      <w:r w:rsidR="00CA00FA">
        <w:rPr>
          <w:rFonts w:ascii="Times New Roman" w:hAnsi="Times New Roman" w:cs="Times New Roman"/>
          <w:sz w:val="26"/>
          <w:szCs w:val="26"/>
        </w:rPr>
        <w:t>2021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 của </w:t>
      </w:r>
      <w:r w:rsidRPr="00676D79">
        <w:rPr>
          <w:rFonts w:ascii="Times New Roman" w:hAnsi="Times New Roman" w:cs="Times New Roman"/>
          <w:sz w:val="26"/>
          <w:szCs w:val="26"/>
        </w:rPr>
        <w:t xml:space="preserve">Công ty </w:t>
      </w:r>
      <w:r w:rsidR="009E6279" w:rsidRPr="00676D79">
        <w:rPr>
          <w:rFonts w:ascii="Times New Roman" w:hAnsi="Times New Roman" w:cs="Times New Roman"/>
          <w:sz w:val="26"/>
          <w:szCs w:val="26"/>
        </w:rPr>
        <w:t>Cổ phần Nông lâm</w:t>
      </w:r>
      <w:r w:rsidRPr="00676D79">
        <w:rPr>
          <w:rFonts w:ascii="Times New Roman" w:hAnsi="Times New Roman" w:cs="Times New Roman"/>
          <w:sz w:val="26"/>
          <w:szCs w:val="26"/>
        </w:rPr>
        <w:t xml:space="preserve"> </w:t>
      </w:r>
      <w:r w:rsidR="009E6279" w:rsidRPr="00676D79">
        <w:rPr>
          <w:rFonts w:ascii="Times New Roman" w:hAnsi="Times New Roman" w:cs="Times New Roman"/>
          <w:sz w:val="26"/>
          <w:szCs w:val="26"/>
        </w:rPr>
        <w:t>n</w:t>
      </w:r>
      <w:r w:rsidRPr="00676D79">
        <w:rPr>
          <w:rFonts w:ascii="Times New Roman" w:hAnsi="Times New Roman" w:cs="Times New Roman"/>
          <w:sz w:val="26"/>
          <w:szCs w:val="26"/>
        </w:rPr>
        <w:t>ghiệp Bình Dương</w:t>
      </w:r>
      <w:r w:rsidR="009E6279" w:rsidRPr="00676D79">
        <w:rPr>
          <w:rFonts w:ascii="Times New Roman" w:hAnsi="Times New Roman" w:cs="Times New Roman"/>
          <w:sz w:val="26"/>
          <w:szCs w:val="26"/>
        </w:rPr>
        <w:t xml:space="preserve"> đã được Công ty TNHH Kiểm toán Sao Việt kiểm toán.</w:t>
      </w:r>
    </w:p>
    <w:p w14:paraId="5AC896D6" w14:textId="1AF3A6DC" w:rsidR="009E6279" w:rsidRPr="00676D79" w:rsidRDefault="009E6279" w:rsidP="00352825">
      <w:pPr>
        <w:spacing w:beforeLines="60" w:before="144" w:afterLines="60" w:after="144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Hội đồng Quản trị</w:t>
      </w:r>
      <w:r w:rsidR="004E57D8" w:rsidRPr="00676D79">
        <w:rPr>
          <w:rFonts w:ascii="Times New Roman" w:hAnsi="Times New Roman" w:cs="Times New Roman"/>
          <w:sz w:val="26"/>
          <w:szCs w:val="26"/>
        </w:rPr>
        <w:t xml:space="preserve"> công ty</w:t>
      </w:r>
      <w:r w:rsidRPr="00676D79">
        <w:rPr>
          <w:rFonts w:ascii="Times New Roman" w:hAnsi="Times New Roman" w:cs="Times New Roman"/>
          <w:sz w:val="26"/>
          <w:szCs w:val="26"/>
        </w:rPr>
        <w:t xml:space="preserve"> trân trọng đề nghị </w:t>
      </w:r>
      <w:r w:rsidR="004E57D8" w:rsidRPr="00676D79">
        <w:rPr>
          <w:rFonts w:ascii="Times New Roman" w:hAnsi="Times New Roman" w:cs="Times New Roman"/>
          <w:sz w:val="26"/>
          <w:szCs w:val="26"/>
        </w:rPr>
        <w:t>Đại hội đồng cổ đông</w:t>
      </w:r>
      <w:r w:rsidRPr="00676D79">
        <w:rPr>
          <w:rFonts w:ascii="Times New Roman" w:hAnsi="Times New Roman" w:cs="Times New Roman"/>
          <w:sz w:val="26"/>
          <w:szCs w:val="26"/>
        </w:rPr>
        <w:t xml:space="preserve"> thường niên năm </w:t>
      </w:r>
      <w:r w:rsidR="00CA00FA">
        <w:rPr>
          <w:rFonts w:ascii="Times New Roman" w:hAnsi="Times New Roman" w:cs="Times New Roman"/>
          <w:sz w:val="26"/>
          <w:szCs w:val="26"/>
        </w:rPr>
        <w:t>2022</w:t>
      </w:r>
      <w:r w:rsidRPr="00676D79">
        <w:rPr>
          <w:rFonts w:ascii="Times New Roman" w:hAnsi="Times New Roman" w:cs="Times New Roman"/>
          <w:sz w:val="26"/>
          <w:szCs w:val="26"/>
        </w:rPr>
        <w:t xml:space="preserve"> xem xét thông qua </w:t>
      </w:r>
      <w:r w:rsidR="0017628F" w:rsidRPr="00676D79">
        <w:rPr>
          <w:rFonts w:ascii="Times New Roman" w:hAnsi="Times New Roman" w:cs="Times New Roman"/>
          <w:sz w:val="26"/>
          <w:szCs w:val="26"/>
        </w:rPr>
        <w:t xml:space="preserve">phân phối lợi nhuận năm </w:t>
      </w:r>
      <w:r w:rsidR="00CA00FA">
        <w:rPr>
          <w:rFonts w:ascii="Times New Roman" w:hAnsi="Times New Roman" w:cs="Times New Roman"/>
          <w:sz w:val="26"/>
          <w:szCs w:val="26"/>
        </w:rPr>
        <w:t>2021</w:t>
      </w:r>
      <w:r w:rsidR="0017628F" w:rsidRPr="00676D79">
        <w:rPr>
          <w:rFonts w:ascii="Times New Roman" w:hAnsi="Times New Roman" w:cs="Times New Roman"/>
          <w:sz w:val="26"/>
          <w:szCs w:val="26"/>
        </w:rPr>
        <w:t xml:space="preserve"> và kế hoạch phân phối lợi nhuận năm </w:t>
      </w:r>
      <w:r w:rsidR="00CA00FA">
        <w:rPr>
          <w:rFonts w:ascii="Times New Roman" w:hAnsi="Times New Roman" w:cs="Times New Roman"/>
          <w:sz w:val="26"/>
          <w:szCs w:val="26"/>
        </w:rPr>
        <w:t>2022</w:t>
      </w:r>
      <w:r w:rsidR="00CD27BA" w:rsidRPr="00676D79">
        <w:rPr>
          <w:rFonts w:ascii="Times New Roman" w:hAnsi="Times New Roman" w:cs="Times New Roman"/>
          <w:sz w:val="26"/>
          <w:szCs w:val="26"/>
        </w:rPr>
        <w:t>:</w:t>
      </w:r>
    </w:p>
    <w:p w14:paraId="71639ED4" w14:textId="014537D3" w:rsidR="00CD27BA" w:rsidRDefault="00CD27BA" w:rsidP="00352825">
      <w:pPr>
        <w:pStyle w:val="oancuaDanhsach"/>
        <w:numPr>
          <w:ilvl w:val="0"/>
          <w:numId w:val="3"/>
        </w:numPr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Phương án phân phối lợi nhuận năm </w:t>
      </w:r>
      <w:r w:rsidR="00CA00FA">
        <w:rPr>
          <w:rFonts w:ascii="Times New Roman" w:hAnsi="Times New Roman" w:cs="Times New Roman"/>
          <w:sz w:val="26"/>
          <w:szCs w:val="26"/>
        </w:rPr>
        <w:t>2021</w:t>
      </w:r>
      <w:r w:rsidRPr="00676D79">
        <w:rPr>
          <w:rFonts w:ascii="Times New Roman" w:hAnsi="Times New Roman" w:cs="Times New Roman"/>
          <w:sz w:val="26"/>
          <w:szCs w:val="26"/>
        </w:rPr>
        <w:t>:</w:t>
      </w:r>
    </w:p>
    <w:tbl>
      <w:tblPr>
        <w:tblW w:w="914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30"/>
        <w:gridCol w:w="1916"/>
      </w:tblGrid>
      <w:tr w:rsidR="007756C8" w:rsidRPr="007756C8" w14:paraId="5A5B683A" w14:textId="77777777" w:rsidTr="001B09E5">
        <w:tc>
          <w:tcPr>
            <w:tcW w:w="7230" w:type="dxa"/>
            <w:vAlign w:val="center"/>
          </w:tcPr>
          <w:p w14:paraId="51D125DA" w14:textId="56DE703B" w:rsidR="007756C8" w:rsidRPr="007756C8" w:rsidRDefault="007756C8" w:rsidP="007756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Chỉ tiêu</w:t>
            </w:r>
          </w:p>
        </w:tc>
        <w:tc>
          <w:tcPr>
            <w:tcW w:w="1916" w:type="dxa"/>
            <w:vAlign w:val="center"/>
          </w:tcPr>
          <w:p w14:paraId="2D84CA8E" w14:textId="2C9A26F6" w:rsidR="007756C8" w:rsidRPr="007756C8" w:rsidRDefault="007756C8" w:rsidP="007756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</w:t>
            </w:r>
            <w:r w:rsidR="004057C1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="004057C1" w:rsidRPr="004057C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r w:rsidR="004057C1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7756C8" w:rsidRPr="007756C8" w14:paraId="4AAA45D1" w14:textId="77777777" w:rsidTr="001B09E5">
        <w:tc>
          <w:tcPr>
            <w:tcW w:w="7230" w:type="dxa"/>
            <w:vAlign w:val="center"/>
          </w:tcPr>
          <w:p w14:paraId="40BB101D" w14:textId="279A4788" w:rsidR="007756C8" w:rsidRPr="007756C8" w:rsidRDefault="007756C8" w:rsidP="007756C8">
            <w:pPr>
              <w:pStyle w:val="oancuaDanhsach"/>
              <w:numPr>
                <w:ilvl w:val="0"/>
                <w:numId w:val="6"/>
              </w:numPr>
              <w:spacing w:before="120" w:after="120" w:line="240" w:lineRule="auto"/>
              <w:ind w:left="31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Sản xuất kinh doanh:</w:t>
            </w:r>
          </w:p>
        </w:tc>
        <w:tc>
          <w:tcPr>
            <w:tcW w:w="1916" w:type="dxa"/>
            <w:vAlign w:val="center"/>
          </w:tcPr>
          <w:p w14:paraId="54A4A066" w14:textId="42DD5502" w:rsidR="007756C8" w:rsidRPr="007756C8" w:rsidRDefault="007756C8" w:rsidP="007756C8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7756C8" w:rsidRPr="007756C8" w14:paraId="7D589639" w14:textId="77777777" w:rsidTr="002552B4">
        <w:tc>
          <w:tcPr>
            <w:tcW w:w="7230" w:type="dxa"/>
            <w:vAlign w:val="center"/>
          </w:tcPr>
          <w:p w14:paraId="29311026" w14:textId="10D75DC6" w:rsidR="007756C8" w:rsidRPr="007756C8" w:rsidRDefault="007756C8" w:rsidP="007756C8">
            <w:pPr>
              <w:pStyle w:val="oancuaDanhsach"/>
              <w:numPr>
                <w:ilvl w:val="0"/>
                <w:numId w:val="5"/>
              </w:numPr>
              <w:spacing w:before="120" w:after="120" w:line="24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Lợi nhuận trước thuế</w:t>
            </w:r>
          </w:p>
        </w:tc>
        <w:tc>
          <w:tcPr>
            <w:tcW w:w="1916" w:type="dxa"/>
            <w:vAlign w:val="center"/>
          </w:tcPr>
          <w:p w14:paraId="6D3AA1A8" w14:textId="0044F9A4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24.627.014.474</w:t>
            </w:r>
          </w:p>
        </w:tc>
      </w:tr>
      <w:tr w:rsidR="007756C8" w:rsidRPr="007756C8" w14:paraId="5CF4D63C" w14:textId="77777777" w:rsidTr="00050646">
        <w:tc>
          <w:tcPr>
            <w:tcW w:w="7230" w:type="dxa"/>
            <w:vAlign w:val="center"/>
          </w:tcPr>
          <w:p w14:paraId="61741140" w14:textId="6C7A81AD" w:rsidR="007756C8" w:rsidRPr="007756C8" w:rsidRDefault="007756C8" w:rsidP="007756C8">
            <w:pPr>
              <w:pStyle w:val="oancuaDanhsach"/>
              <w:numPr>
                <w:ilvl w:val="0"/>
                <w:numId w:val="5"/>
              </w:numPr>
              <w:spacing w:before="120" w:after="120" w:line="24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Lợi nhuận sau thuế</w:t>
            </w:r>
          </w:p>
        </w:tc>
        <w:tc>
          <w:tcPr>
            <w:tcW w:w="1916" w:type="dxa"/>
            <w:vAlign w:val="center"/>
          </w:tcPr>
          <w:p w14:paraId="76E226BB" w14:textId="498FFF43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20.182.246.962</w:t>
            </w:r>
          </w:p>
        </w:tc>
      </w:tr>
      <w:tr w:rsidR="007756C8" w:rsidRPr="007756C8" w14:paraId="04F276E6" w14:textId="77777777" w:rsidTr="001B09E5">
        <w:tc>
          <w:tcPr>
            <w:tcW w:w="7230" w:type="dxa"/>
            <w:vAlign w:val="center"/>
          </w:tcPr>
          <w:p w14:paraId="1780682B" w14:textId="7317C492" w:rsidR="007756C8" w:rsidRPr="007756C8" w:rsidRDefault="007756C8" w:rsidP="007756C8">
            <w:pPr>
              <w:pStyle w:val="oancuaDanhsach"/>
              <w:numPr>
                <w:ilvl w:val="0"/>
                <w:numId w:val="6"/>
              </w:numPr>
              <w:spacing w:before="120" w:after="120" w:line="240" w:lineRule="auto"/>
              <w:ind w:left="45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Phân phối lợi nhuận:</w:t>
            </w:r>
          </w:p>
        </w:tc>
        <w:tc>
          <w:tcPr>
            <w:tcW w:w="1916" w:type="dxa"/>
            <w:vAlign w:val="center"/>
          </w:tcPr>
          <w:p w14:paraId="3C683628" w14:textId="002DBF89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7756C8" w:rsidRPr="007756C8" w14:paraId="389FC859" w14:textId="77777777" w:rsidTr="002552B4">
        <w:tc>
          <w:tcPr>
            <w:tcW w:w="7230" w:type="dxa"/>
            <w:vAlign w:val="center"/>
          </w:tcPr>
          <w:p w14:paraId="696585B2" w14:textId="5031C48D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 Quỹ đầu tư phát triển 60,8%</w:t>
            </w:r>
          </w:p>
        </w:tc>
        <w:tc>
          <w:tcPr>
            <w:tcW w:w="1916" w:type="dxa"/>
            <w:vAlign w:val="center"/>
          </w:tcPr>
          <w:p w14:paraId="0F1F2374" w14:textId="72A40827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12.287.926.140</w:t>
            </w:r>
          </w:p>
        </w:tc>
      </w:tr>
      <w:tr w:rsidR="007756C8" w:rsidRPr="007756C8" w14:paraId="466C04C3" w14:textId="77777777" w:rsidTr="002552B4">
        <w:tc>
          <w:tcPr>
            <w:tcW w:w="7230" w:type="dxa"/>
            <w:vAlign w:val="center"/>
          </w:tcPr>
          <w:p w14:paraId="77914728" w14:textId="52064AA3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2. Quỹ khen thưởng, quỹ phúc lợi (trích 3 tháng lương) 5,5%</w:t>
            </w:r>
          </w:p>
        </w:tc>
        <w:tc>
          <w:tcPr>
            <w:tcW w:w="1916" w:type="dxa"/>
            <w:vAlign w:val="center"/>
          </w:tcPr>
          <w:p w14:paraId="3632657C" w14:textId="42A46506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1.107.263.022</w:t>
            </w:r>
          </w:p>
        </w:tc>
      </w:tr>
      <w:tr w:rsidR="007756C8" w:rsidRPr="007756C8" w14:paraId="15449BA1" w14:textId="77777777" w:rsidTr="00050646">
        <w:tc>
          <w:tcPr>
            <w:tcW w:w="7230" w:type="dxa"/>
            <w:vAlign w:val="center"/>
          </w:tcPr>
          <w:p w14:paraId="7162C9A1" w14:textId="069AF9B5" w:rsidR="007756C8" w:rsidRPr="007756C8" w:rsidRDefault="007756C8" w:rsidP="007756C8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3. Quỹ thưởng người quản lý, kiểm soát viên (trích 1,5 tháng lương) 0,8%</w:t>
            </w:r>
          </w:p>
        </w:tc>
        <w:tc>
          <w:tcPr>
            <w:tcW w:w="1916" w:type="dxa"/>
            <w:vAlign w:val="center"/>
          </w:tcPr>
          <w:p w14:paraId="4FE4BD72" w14:textId="4275F033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164.790.000</w:t>
            </w:r>
          </w:p>
        </w:tc>
      </w:tr>
      <w:tr w:rsidR="007756C8" w:rsidRPr="007756C8" w14:paraId="71EEC74E" w14:textId="77777777" w:rsidTr="002552B4">
        <w:tc>
          <w:tcPr>
            <w:tcW w:w="7230" w:type="dxa"/>
            <w:vAlign w:val="center"/>
          </w:tcPr>
          <w:p w14:paraId="6CF7B1FD" w14:textId="4E66052D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4. Phụng dưỡng mẹ Việt Nam Anh Hùng 0,1%</w:t>
            </w:r>
          </w:p>
        </w:tc>
        <w:tc>
          <w:tcPr>
            <w:tcW w:w="1916" w:type="dxa"/>
            <w:vAlign w:val="center"/>
          </w:tcPr>
          <w:p w14:paraId="24D747EB" w14:textId="7322F867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25.450.000</w:t>
            </w:r>
          </w:p>
        </w:tc>
      </w:tr>
      <w:tr w:rsidR="007756C8" w:rsidRPr="007756C8" w14:paraId="2D805E11" w14:textId="77777777" w:rsidTr="002552B4">
        <w:tc>
          <w:tcPr>
            <w:tcW w:w="7230" w:type="dxa"/>
            <w:vAlign w:val="center"/>
          </w:tcPr>
          <w:p w14:paraId="6ED26348" w14:textId="1FA07557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Tài trợ suất ăn cho bệnh nhân nghèo huyện Phú Giáo 0,1%</w:t>
            </w:r>
          </w:p>
        </w:tc>
        <w:tc>
          <w:tcPr>
            <w:tcW w:w="1916" w:type="dxa"/>
            <w:vAlign w:val="center"/>
          </w:tcPr>
          <w:p w14:paraId="1837BDFD" w14:textId="69C25010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6.300.000</w:t>
            </w:r>
          </w:p>
        </w:tc>
      </w:tr>
      <w:tr w:rsidR="007756C8" w:rsidRPr="007756C8" w14:paraId="2211AFD3" w14:textId="77777777" w:rsidTr="007756C8">
        <w:tc>
          <w:tcPr>
            <w:tcW w:w="7230" w:type="dxa"/>
            <w:tcBorders>
              <w:bottom w:val="single" w:sz="4" w:space="0" w:color="000000"/>
            </w:tcBorders>
            <w:vAlign w:val="center"/>
          </w:tcPr>
          <w:p w14:paraId="5039260A" w14:textId="63DB121F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 Khoản chi ủng hộ công tác xã hội tại địa phương 0,9%</w:t>
            </w:r>
          </w:p>
        </w:tc>
        <w:tc>
          <w:tcPr>
            <w:tcW w:w="1916" w:type="dxa"/>
            <w:tcBorders>
              <w:bottom w:val="single" w:sz="4" w:space="0" w:color="000000"/>
            </w:tcBorders>
            <w:vAlign w:val="center"/>
          </w:tcPr>
          <w:p w14:paraId="6920956F" w14:textId="1ACD5967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177.500.000</w:t>
            </w:r>
          </w:p>
        </w:tc>
      </w:tr>
      <w:tr w:rsidR="007756C8" w:rsidRPr="007756C8" w14:paraId="1387B192" w14:textId="77777777" w:rsidTr="007756C8"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6D83F3A0" w14:textId="2B4F48B1" w:rsidR="007756C8" w:rsidRPr="007756C8" w:rsidRDefault="007756C8" w:rsidP="007756C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7. Chia cổ tức </w:t>
            </w:r>
            <w:r w:rsidR="00C1637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</w:t>
            </w: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 (chiếm 31,8% LNST)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vAlign w:val="center"/>
          </w:tcPr>
          <w:p w14:paraId="3F1B408A" w14:textId="4CF9F71C" w:rsidR="007756C8" w:rsidRPr="007756C8" w:rsidRDefault="007756C8" w:rsidP="007756C8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6.413.017.800</w:t>
            </w:r>
          </w:p>
        </w:tc>
      </w:tr>
    </w:tbl>
    <w:p w14:paraId="17D8F4E1" w14:textId="77777777" w:rsidR="00990847" w:rsidRPr="00676D79" w:rsidRDefault="00990847" w:rsidP="00352825">
      <w:pPr>
        <w:spacing w:beforeLines="60" w:before="144" w:afterLines="60" w:after="144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</w:p>
    <w:p w14:paraId="5715E387" w14:textId="4B01465B" w:rsidR="00CD27BA" w:rsidRPr="00676D79" w:rsidRDefault="001307F1" w:rsidP="00352825">
      <w:pPr>
        <w:pStyle w:val="oancuaDanhsach"/>
        <w:numPr>
          <w:ilvl w:val="0"/>
          <w:numId w:val="3"/>
        </w:numPr>
        <w:spacing w:beforeLines="60" w:before="144" w:afterLines="60" w:after="144" w:line="240" w:lineRule="auto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 xml:space="preserve">Kế hoạch phân phối lợi nhuận năm </w:t>
      </w:r>
      <w:r w:rsidR="00CA00FA">
        <w:rPr>
          <w:rFonts w:ascii="Times New Roman" w:hAnsi="Times New Roman" w:cs="Times New Roman"/>
          <w:sz w:val="26"/>
          <w:szCs w:val="26"/>
        </w:rPr>
        <w:t>2022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946"/>
        <w:gridCol w:w="2127"/>
      </w:tblGrid>
      <w:tr w:rsidR="002B3BD4" w:rsidRPr="004057C1" w14:paraId="349D43AD" w14:textId="77777777" w:rsidTr="002B3BD4">
        <w:tc>
          <w:tcPr>
            <w:tcW w:w="6946" w:type="dxa"/>
          </w:tcPr>
          <w:p w14:paraId="6AC4063B" w14:textId="77777777" w:rsidR="002B3BD4" w:rsidRPr="004057C1" w:rsidRDefault="002B3BD4" w:rsidP="004057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b/>
                <w:sz w:val="26"/>
                <w:szCs w:val="26"/>
              </w:rPr>
              <w:t>Chỉ tiêu</w:t>
            </w:r>
          </w:p>
        </w:tc>
        <w:tc>
          <w:tcPr>
            <w:tcW w:w="2127" w:type="dxa"/>
          </w:tcPr>
          <w:p w14:paraId="7D2FFA2B" w14:textId="1E9B345D" w:rsidR="002B3BD4" w:rsidRPr="004057C1" w:rsidRDefault="004057C1" w:rsidP="004057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Số tiền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(</w:t>
            </w: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đồng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</w:tr>
      <w:tr w:rsidR="002B3BD4" w:rsidRPr="004057C1" w14:paraId="6CD33034" w14:textId="77777777" w:rsidTr="002B3BD4">
        <w:tc>
          <w:tcPr>
            <w:tcW w:w="6946" w:type="dxa"/>
          </w:tcPr>
          <w:p w14:paraId="103A07A9" w14:textId="77777777" w:rsidR="002B3BD4" w:rsidRPr="004057C1" w:rsidRDefault="002B3BD4" w:rsidP="004057C1">
            <w:pPr>
              <w:pStyle w:val="oancuaDanhsach"/>
              <w:numPr>
                <w:ilvl w:val="0"/>
                <w:numId w:val="7"/>
              </w:numPr>
              <w:spacing w:before="120" w:after="120" w:line="240" w:lineRule="auto"/>
              <w:ind w:left="314" w:hanging="284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b/>
                <w:sz w:val="26"/>
                <w:szCs w:val="26"/>
              </w:rPr>
              <w:t>Sản xuất kinh doanh:</w:t>
            </w:r>
          </w:p>
        </w:tc>
        <w:tc>
          <w:tcPr>
            <w:tcW w:w="2127" w:type="dxa"/>
          </w:tcPr>
          <w:p w14:paraId="1D44A0A2" w14:textId="77777777" w:rsidR="002B3BD4" w:rsidRPr="004057C1" w:rsidRDefault="002B3BD4" w:rsidP="004057C1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2B3BD4" w:rsidRPr="004057C1" w14:paraId="25B2681F" w14:textId="77777777" w:rsidTr="002B3BD4">
        <w:tc>
          <w:tcPr>
            <w:tcW w:w="6946" w:type="dxa"/>
            <w:vAlign w:val="center"/>
          </w:tcPr>
          <w:p w14:paraId="3A0B71B1" w14:textId="315E7551" w:rsidR="002B3BD4" w:rsidRPr="004057C1" w:rsidRDefault="002B3BD4" w:rsidP="004057C1">
            <w:pPr>
              <w:pStyle w:val="oancuaDanhsach"/>
              <w:numPr>
                <w:ilvl w:val="0"/>
                <w:numId w:val="9"/>
              </w:numPr>
              <w:spacing w:before="120" w:after="120" w:line="240" w:lineRule="auto"/>
              <w:ind w:left="456" w:hanging="284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bCs/>
                <w:sz w:val="26"/>
                <w:szCs w:val="26"/>
              </w:rPr>
              <w:t>Tổng doanh thu</w:t>
            </w:r>
          </w:p>
        </w:tc>
        <w:tc>
          <w:tcPr>
            <w:tcW w:w="2127" w:type="dxa"/>
          </w:tcPr>
          <w:p w14:paraId="6415718F" w14:textId="4C5932DA" w:rsidR="002B3BD4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131.151.891.096</w:t>
            </w:r>
          </w:p>
        </w:tc>
      </w:tr>
      <w:tr w:rsidR="002B3BD4" w:rsidRPr="004057C1" w14:paraId="492B9A44" w14:textId="77777777" w:rsidTr="002B3BD4">
        <w:tc>
          <w:tcPr>
            <w:tcW w:w="6946" w:type="dxa"/>
            <w:vAlign w:val="center"/>
          </w:tcPr>
          <w:p w14:paraId="7CED346C" w14:textId="62B9CC70" w:rsidR="002B3BD4" w:rsidRPr="004057C1" w:rsidRDefault="002B3BD4" w:rsidP="004057C1">
            <w:pPr>
              <w:pStyle w:val="oancuaDanhsach"/>
              <w:numPr>
                <w:ilvl w:val="0"/>
                <w:numId w:val="9"/>
              </w:numPr>
              <w:spacing w:before="120" w:after="120" w:line="24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Lợi nhuận trước thuế</w:t>
            </w:r>
          </w:p>
        </w:tc>
        <w:tc>
          <w:tcPr>
            <w:tcW w:w="2127" w:type="dxa"/>
            <w:vAlign w:val="center"/>
          </w:tcPr>
          <w:p w14:paraId="3301050D" w14:textId="4ACEDD13" w:rsidR="002B3BD4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23.023.650.615</w:t>
            </w:r>
          </w:p>
        </w:tc>
      </w:tr>
      <w:tr w:rsidR="002B3BD4" w:rsidRPr="004057C1" w14:paraId="63B2067D" w14:textId="77777777" w:rsidTr="002B3BD4">
        <w:tc>
          <w:tcPr>
            <w:tcW w:w="6946" w:type="dxa"/>
            <w:vAlign w:val="center"/>
          </w:tcPr>
          <w:p w14:paraId="28C9F4AD" w14:textId="15A291F3" w:rsidR="002B3BD4" w:rsidRPr="004057C1" w:rsidRDefault="002B3BD4" w:rsidP="004057C1">
            <w:pPr>
              <w:pStyle w:val="oancuaDanhsach"/>
              <w:numPr>
                <w:ilvl w:val="0"/>
                <w:numId w:val="9"/>
              </w:numPr>
              <w:spacing w:before="120" w:after="120" w:line="240" w:lineRule="auto"/>
              <w:ind w:left="456" w:hanging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Lợi nhuận sau thuế</w:t>
            </w:r>
          </w:p>
        </w:tc>
        <w:tc>
          <w:tcPr>
            <w:tcW w:w="2127" w:type="dxa"/>
            <w:vAlign w:val="center"/>
          </w:tcPr>
          <w:p w14:paraId="66BC5FBF" w14:textId="2AB3C614" w:rsidR="002B3BD4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18.799.163.700</w:t>
            </w:r>
          </w:p>
        </w:tc>
      </w:tr>
      <w:tr w:rsidR="002B3BD4" w:rsidRPr="004057C1" w14:paraId="35596483" w14:textId="77777777" w:rsidTr="002B3BD4">
        <w:tc>
          <w:tcPr>
            <w:tcW w:w="6946" w:type="dxa"/>
          </w:tcPr>
          <w:p w14:paraId="3FAFDD06" w14:textId="230B972B" w:rsidR="002B3BD4" w:rsidRPr="004057C1" w:rsidRDefault="002B3BD4" w:rsidP="004057C1">
            <w:pPr>
              <w:pStyle w:val="oancuaDanhsach"/>
              <w:numPr>
                <w:ilvl w:val="0"/>
                <w:numId w:val="7"/>
              </w:numPr>
              <w:spacing w:before="120" w:after="120" w:line="240" w:lineRule="auto"/>
              <w:ind w:left="456" w:hanging="42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b/>
                <w:sz w:val="26"/>
                <w:szCs w:val="26"/>
              </w:rPr>
              <w:t>Phân phối lợi nhuận:</w:t>
            </w:r>
          </w:p>
        </w:tc>
        <w:tc>
          <w:tcPr>
            <w:tcW w:w="2127" w:type="dxa"/>
            <w:vAlign w:val="center"/>
          </w:tcPr>
          <w:p w14:paraId="58BF136F" w14:textId="77777777" w:rsidR="002B3BD4" w:rsidRPr="004057C1" w:rsidRDefault="002B3BD4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7C1" w:rsidRPr="004057C1" w14:paraId="25609F12" w14:textId="77777777" w:rsidTr="002B3BD4">
        <w:tc>
          <w:tcPr>
            <w:tcW w:w="6946" w:type="dxa"/>
            <w:vAlign w:val="center"/>
          </w:tcPr>
          <w:p w14:paraId="4171D19A" w14:textId="57D1550F" w:rsidR="004057C1" w:rsidRPr="004057C1" w:rsidRDefault="004057C1" w:rsidP="002C6106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1. Quỹ đầu tư phát triể</w:t>
            </w:r>
            <w:r w:rsidR="002C6106">
              <w:rPr>
                <w:rFonts w:ascii="Times New Roman" w:hAnsi="Times New Roman" w:cs="Times New Roman"/>
                <w:sz w:val="26"/>
                <w:szCs w:val="26"/>
              </w:rPr>
              <w:t>n 57</w:t>
            </w: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C6106"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</w:t>
            </w: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27" w:type="dxa"/>
            <w:vAlign w:val="center"/>
          </w:tcPr>
          <w:p w14:paraId="4682DCE2" w14:textId="14D9727F" w:rsidR="004057C1" w:rsidRPr="004057C1" w:rsidRDefault="002C6106" w:rsidP="002C6106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87</w:t>
            </w:r>
            <w:r w:rsidR="004057C1" w:rsidRPr="004057C1">
              <w:rPr>
                <w:rFonts w:ascii="Times New Roman" w:hAnsi="Times New Roman" w:cs="Times New Roman"/>
                <w:sz w:val="26"/>
                <w:szCs w:val="26"/>
              </w:rPr>
              <w:t>4.641.996</w:t>
            </w:r>
          </w:p>
        </w:tc>
      </w:tr>
      <w:tr w:rsidR="004057C1" w:rsidRPr="004057C1" w14:paraId="26675A21" w14:textId="77777777" w:rsidTr="002B3BD4">
        <w:tc>
          <w:tcPr>
            <w:tcW w:w="6946" w:type="dxa"/>
            <w:vAlign w:val="center"/>
          </w:tcPr>
          <w:p w14:paraId="06C34EA2" w14:textId="0378E844" w:rsidR="004057C1" w:rsidRPr="004057C1" w:rsidRDefault="004057C1" w:rsidP="004057C1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2. Quỹ khen thưởng, quỹ phúc lợi (trích 3 tháng lương) 5,4%</w:t>
            </w:r>
          </w:p>
        </w:tc>
        <w:tc>
          <w:tcPr>
            <w:tcW w:w="2127" w:type="dxa"/>
            <w:vAlign w:val="center"/>
          </w:tcPr>
          <w:p w14:paraId="0DAC4F35" w14:textId="365C64BD" w:rsidR="004057C1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1.022.213.904</w:t>
            </w:r>
          </w:p>
        </w:tc>
      </w:tr>
      <w:tr w:rsidR="004057C1" w:rsidRPr="004057C1" w14:paraId="4F6710BE" w14:textId="77777777" w:rsidTr="002B3BD4">
        <w:tc>
          <w:tcPr>
            <w:tcW w:w="6946" w:type="dxa"/>
            <w:vAlign w:val="center"/>
          </w:tcPr>
          <w:p w14:paraId="65F96E77" w14:textId="72DC1AB2" w:rsidR="004057C1" w:rsidRPr="004057C1" w:rsidRDefault="004057C1" w:rsidP="004057C1">
            <w:pPr>
              <w:spacing w:before="120" w:after="120" w:line="240" w:lineRule="auto"/>
              <w:ind w:left="172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3. Quỹ thưởng người quản lý, kiểm soát viên (trích 1,5 tháng lương) 0,9%</w:t>
            </w:r>
          </w:p>
        </w:tc>
        <w:tc>
          <w:tcPr>
            <w:tcW w:w="2127" w:type="dxa"/>
            <w:vAlign w:val="center"/>
          </w:tcPr>
          <w:p w14:paraId="2D0FBA33" w14:textId="16127F24" w:rsidR="004057C1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164.790.000</w:t>
            </w:r>
          </w:p>
        </w:tc>
      </w:tr>
      <w:tr w:rsidR="004057C1" w:rsidRPr="004057C1" w14:paraId="5DF18E73" w14:textId="77777777" w:rsidTr="002B3BD4">
        <w:tc>
          <w:tcPr>
            <w:tcW w:w="6946" w:type="dxa"/>
            <w:vAlign w:val="center"/>
          </w:tcPr>
          <w:p w14:paraId="3FFA172D" w14:textId="6BE08D55" w:rsidR="004057C1" w:rsidRPr="004057C1" w:rsidRDefault="004057C1" w:rsidP="004057C1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4. Phụng dưỡng mẹ Việt Nam Anh Hùng 0,1%</w:t>
            </w:r>
          </w:p>
        </w:tc>
        <w:tc>
          <w:tcPr>
            <w:tcW w:w="2127" w:type="dxa"/>
            <w:vAlign w:val="center"/>
          </w:tcPr>
          <w:p w14:paraId="7857DE21" w14:textId="5E4B3FB9" w:rsidR="004057C1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24.500.000</w:t>
            </w:r>
          </w:p>
        </w:tc>
      </w:tr>
      <w:tr w:rsidR="002C6106" w:rsidRPr="004057C1" w14:paraId="6F669182" w14:textId="77777777" w:rsidTr="002B3BD4">
        <w:tc>
          <w:tcPr>
            <w:tcW w:w="6946" w:type="dxa"/>
            <w:vAlign w:val="center"/>
          </w:tcPr>
          <w:p w14:paraId="75034C03" w14:textId="1E827E1B" w:rsidR="002C6106" w:rsidRPr="004057C1" w:rsidRDefault="002C6106" w:rsidP="004F6598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5. Tài trợ suất ăn cho bệnh nhân nghèo huyệ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n Phú Giáo 0,</w:t>
            </w:r>
            <w:r w:rsidR="004F6598">
              <w:rPr>
                <w:rFonts w:ascii="Times New Roman" w:hAnsi="Times New Roman" w:cs="Times New Roman"/>
                <w:color w:val="000000"/>
                <w:sz w:val="26"/>
                <w:szCs w:val="26"/>
                <w:lang w:val="vi-VN"/>
              </w:rPr>
              <w:t>3</w:t>
            </w:r>
            <w:r w:rsidRPr="007756C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%</w:t>
            </w:r>
          </w:p>
        </w:tc>
        <w:tc>
          <w:tcPr>
            <w:tcW w:w="2127" w:type="dxa"/>
            <w:vAlign w:val="center"/>
          </w:tcPr>
          <w:p w14:paraId="1A88064E" w14:textId="63E4AA2B" w:rsidR="002C6106" w:rsidRPr="002C6106" w:rsidRDefault="002C6106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vi-VN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vi-VN"/>
              </w:rPr>
              <w:t>50.000.000</w:t>
            </w:r>
          </w:p>
        </w:tc>
      </w:tr>
      <w:tr w:rsidR="004057C1" w:rsidRPr="004057C1" w14:paraId="68B42C16" w14:textId="77777777" w:rsidTr="002B3BD4">
        <w:tc>
          <w:tcPr>
            <w:tcW w:w="6946" w:type="dxa"/>
            <w:vAlign w:val="center"/>
          </w:tcPr>
          <w:p w14:paraId="16F2B25D" w14:textId="0DF26785" w:rsidR="004057C1" w:rsidRPr="004057C1" w:rsidRDefault="002C6106" w:rsidP="004057C1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4057C1" w:rsidRPr="004057C1">
              <w:rPr>
                <w:rFonts w:ascii="Times New Roman" w:hAnsi="Times New Roman" w:cs="Times New Roman"/>
                <w:sz w:val="26"/>
                <w:szCs w:val="26"/>
              </w:rPr>
              <w:t>. Khoản chi ủng hộ công tác xã hội tại địa phương 1,3%</w:t>
            </w:r>
          </w:p>
        </w:tc>
        <w:tc>
          <w:tcPr>
            <w:tcW w:w="2127" w:type="dxa"/>
            <w:vAlign w:val="center"/>
          </w:tcPr>
          <w:p w14:paraId="77B1526E" w14:textId="15A002C2" w:rsidR="004057C1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250.000.000</w:t>
            </w:r>
          </w:p>
        </w:tc>
      </w:tr>
      <w:tr w:rsidR="004057C1" w:rsidRPr="004057C1" w14:paraId="77AACDBF" w14:textId="77777777" w:rsidTr="002B3BD4">
        <w:tc>
          <w:tcPr>
            <w:tcW w:w="6946" w:type="dxa"/>
            <w:vAlign w:val="center"/>
          </w:tcPr>
          <w:p w14:paraId="630C3802" w14:textId="11F6A124" w:rsidR="004057C1" w:rsidRPr="004057C1" w:rsidRDefault="002C6106" w:rsidP="004057C1">
            <w:pPr>
              <w:spacing w:before="120" w:after="120" w:line="240" w:lineRule="auto"/>
              <w:ind w:left="17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4057C1" w:rsidRPr="004057C1">
              <w:rPr>
                <w:rFonts w:ascii="Times New Roman" w:hAnsi="Times New Roman" w:cs="Times New Roman"/>
                <w:sz w:val="26"/>
                <w:szCs w:val="26"/>
              </w:rPr>
              <w:t>. Chia cổ tức 6% (chiếm 34,1% LNST)</w:t>
            </w:r>
          </w:p>
        </w:tc>
        <w:tc>
          <w:tcPr>
            <w:tcW w:w="2127" w:type="dxa"/>
            <w:vAlign w:val="center"/>
          </w:tcPr>
          <w:p w14:paraId="66CD93C5" w14:textId="4A049F4A" w:rsidR="004057C1" w:rsidRPr="004057C1" w:rsidRDefault="004057C1" w:rsidP="004057C1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4057C1">
              <w:rPr>
                <w:rFonts w:ascii="Times New Roman" w:hAnsi="Times New Roman" w:cs="Times New Roman"/>
                <w:sz w:val="26"/>
                <w:szCs w:val="26"/>
              </w:rPr>
              <w:t>6.413.017.800</w:t>
            </w:r>
          </w:p>
        </w:tc>
      </w:tr>
    </w:tbl>
    <w:p w14:paraId="2EAE3482" w14:textId="77777777" w:rsidR="009E6279" w:rsidRPr="00676D79" w:rsidRDefault="009E6279" w:rsidP="00352825">
      <w:pPr>
        <w:spacing w:beforeLines="60" w:before="144" w:afterLines="60" w:after="144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676D79">
        <w:rPr>
          <w:rFonts w:ascii="Times New Roman" w:hAnsi="Times New Roman" w:cs="Times New Roman"/>
          <w:sz w:val="26"/>
          <w:szCs w:val="26"/>
        </w:rPr>
        <w:t>Kính trình Đại hội xem xét và thông qua nội dung nêu trên.</w:t>
      </w: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7"/>
        <w:gridCol w:w="4671"/>
      </w:tblGrid>
      <w:tr w:rsidR="00976CA8" w:rsidRPr="00676D79" w14:paraId="74BC7AF2" w14:textId="77777777" w:rsidTr="00DD0745">
        <w:tc>
          <w:tcPr>
            <w:tcW w:w="4617" w:type="dxa"/>
          </w:tcPr>
          <w:p w14:paraId="4E55785A" w14:textId="77777777" w:rsidR="00976CA8" w:rsidRPr="00676D79" w:rsidRDefault="00976CA8" w:rsidP="00352825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1" w:type="dxa"/>
          </w:tcPr>
          <w:p w14:paraId="3FF6F3EE" w14:textId="77777777" w:rsidR="00976CA8" w:rsidRPr="00676D79" w:rsidRDefault="00976CA8" w:rsidP="00352825">
            <w:pPr>
              <w:spacing w:beforeLines="60" w:before="144" w:afterLines="60" w:after="144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TM. </w:t>
            </w:r>
            <w:r w:rsidR="009E6279"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HỘI ĐỒNG QUẢN TRỊ</w:t>
            </w:r>
          </w:p>
          <w:p w14:paraId="7FF8C620" w14:textId="77777777" w:rsidR="00976CA8" w:rsidRPr="00676D79" w:rsidRDefault="009E6279" w:rsidP="00352825">
            <w:pPr>
              <w:spacing w:beforeLines="60" w:before="144" w:afterLines="60" w:after="144"/>
              <w:jc w:val="center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76D79">
              <w:rPr>
                <w:rFonts w:ascii="Times New Roman" w:hAnsi="Times New Roman" w:cs="Times New Roman"/>
                <w:b/>
                <w:sz w:val="26"/>
                <w:szCs w:val="26"/>
              </w:rPr>
              <w:t>CHỦ TỊCH</w:t>
            </w:r>
          </w:p>
          <w:p w14:paraId="05D5C392" w14:textId="77777777" w:rsidR="00976CA8" w:rsidRPr="00676D79" w:rsidRDefault="00976CA8" w:rsidP="00352825">
            <w:pPr>
              <w:spacing w:beforeLines="60" w:before="144" w:afterLines="60" w:after="14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7DC59DFB" w14:textId="77777777" w:rsidR="00413657" w:rsidRPr="00676D79" w:rsidRDefault="00413657" w:rsidP="00352825">
      <w:pPr>
        <w:spacing w:beforeLines="60" w:before="144" w:afterLines="60" w:after="144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413657" w:rsidRPr="00676D79" w:rsidSect="00FE043A"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2D7957"/>
    <w:multiLevelType w:val="hybridMultilevel"/>
    <w:tmpl w:val="28D4AD2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515D9"/>
    <w:multiLevelType w:val="hybridMultilevel"/>
    <w:tmpl w:val="6414AAB8"/>
    <w:lvl w:ilvl="0" w:tplc="E778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954D3"/>
    <w:multiLevelType w:val="hybridMultilevel"/>
    <w:tmpl w:val="1C08E6CC"/>
    <w:lvl w:ilvl="0" w:tplc="1ADEF8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37" w:hanging="360"/>
      </w:pPr>
    </w:lvl>
    <w:lvl w:ilvl="2" w:tplc="042A001B" w:tentative="1">
      <w:start w:val="1"/>
      <w:numFmt w:val="lowerRoman"/>
      <w:lvlText w:val="%3."/>
      <w:lvlJc w:val="right"/>
      <w:pPr>
        <w:ind w:left="2157" w:hanging="180"/>
      </w:pPr>
    </w:lvl>
    <w:lvl w:ilvl="3" w:tplc="042A000F" w:tentative="1">
      <w:start w:val="1"/>
      <w:numFmt w:val="decimal"/>
      <w:lvlText w:val="%4."/>
      <w:lvlJc w:val="left"/>
      <w:pPr>
        <w:ind w:left="2877" w:hanging="360"/>
      </w:pPr>
    </w:lvl>
    <w:lvl w:ilvl="4" w:tplc="042A0019" w:tentative="1">
      <w:start w:val="1"/>
      <w:numFmt w:val="lowerLetter"/>
      <w:lvlText w:val="%5."/>
      <w:lvlJc w:val="left"/>
      <w:pPr>
        <w:ind w:left="3597" w:hanging="360"/>
      </w:pPr>
    </w:lvl>
    <w:lvl w:ilvl="5" w:tplc="042A001B" w:tentative="1">
      <w:start w:val="1"/>
      <w:numFmt w:val="lowerRoman"/>
      <w:lvlText w:val="%6."/>
      <w:lvlJc w:val="right"/>
      <w:pPr>
        <w:ind w:left="4317" w:hanging="180"/>
      </w:pPr>
    </w:lvl>
    <w:lvl w:ilvl="6" w:tplc="042A000F" w:tentative="1">
      <w:start w:val="1"/>
      <w:numFmt w:val="decimal"/>
      <w:lvlText w:val="%7."/>
      <w:lvlJc w:val="left"/>
      <w:pPr>
        <w:ind w:left="5037" w:hanging="360"/>
      </w:pPr>
    </w:lvl>
    <w:lvl w:ilvl="7" w:tplc="042A0019" w:tentative="1">
      <w:start w:val="1"/>
      <w:numFmt w:val="lowerLetter"/>
      <w:lvlText w:val="%8."/>
      <w:lvlJc w:val="left"/>
      <w:pPr>
        <w:ind w:left="5757" w:hanging="360"/>
      </w:pPr>
    </w:lvl>
    <w:lvl w:ilvl="8" w:tplc="042A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39B0508A"/>
    <w:multiLevelType w:val="hybridMultilevel"/>
    <w:tmpl w:val="28D4A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6FC6"/>
    <w:multiLevelType w:val="hybridMultilevel"/>
    <w:tmpl w:val="9766A2FC"/>
    <w:lvl w:ilvl="0" w:tplc="AC3611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25328"/>
    <w:multiLevelType w:val="hybridMultilevel"/>
    <w:tmpl w:val="F4087978"/>
    <w:lvl w:ilvl="0" w:tplc="FFFFFFFF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10" w:hanging="360"/>
      </w:pPr>
    </w:lvl>
    <w:lvl w:ilvl="2" w:tplc="FFFFFFFF" w:tentative="1">
      <w:start w:val="1"/>
      <w:numFmt w:val="lowerRoman"/>
      <w:lvlText w:val="%3."/>
      <w:lvlJc w:val="right"/>
      <w:pPr>
        <w:ind w:left="1830" w:hanging="180"/>
      </w:pPr>
    </w:lvl>
    <w:lvl w:ilvl="3" w:tplc="FFFFFFFF" w:tentative="1">
      <w:start w:val="1"/>
      <w:numFmt w:val="decimal"/>
      <w:lvlText w:val="%4."/>
      <w:lvlJc w:val="left"/>
      <w:pPr>
        <w:ind w:left="2550" w:hanging="360"/>
      </w:pPr>
    </w:lvl>
    <w:lvl w:ilvl="4" w:tplc="FFFFFFFF" w:tentative="1">
      <w:start w:val="1"/>
      <w:numFmt w:val="lowerLetter"/>
      <w:lvlText w:val="%5."/>
      <w:lvlJc w:val="left"/>
      <w:pPr>
        <w:ind w:left="3270" w:hanging="360"/>
      </w:pPr>
    </w:lvl>
    <w:lvl w:ilvl="5" w:tplc="FFFFFFFF" w:tentative="1">
      <w:start w:val="1"/>
      <w:numFmt w:val="lowerRoman"/>
      <w:lvlText w:val="%6."/>
      <w:lvlJc w:val="right"/>
      <w:pPr>
        <w:ind w:left="3990" w:hanging="180"/>
      </w:pPr>
    </w:lvl>
    <w:lvl w:ilvl="6" w:tplc="FFFFFFFF" w:tentative="1">
      <w:start w:val="1"/>
      <w:numFmt w:val="decimal"/>
      <w:lvlText w:val="%7."/>
      <w:lvlJc w:val="left"/>
      <w:pPr>
        <w:ind w:left="4710" w:hanging="360"/>
      </w:pPr>
    </w:lvl>
    <w:lvl w:ilvl="7" w:tplc="FFFFFFFF" w:tentative="1">
      <w:start w:val="1"/>
      <w:numFmt w:val="lowerLetter"/>
      <w:lvlText w:val="%8."/>
      <w:lvlJc w:val="left"/>
      <w:pPr>
        <w:ind w:left="5430" w:hanging="360"/>
      </w:pPr>
    </w:lvl>
    <w:lvl w:ilvl="8" w:tplc="FFFFFFFF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6" w15:restartNumberingAfterBreak="0">
    <w:nsid w:val="4A560A87"/>
    <w:multiLevelType w:val="hybridMultilevel"/>
    <w:tmpl w:val="3EEEB3AA"/>
    <w:lvl w:ilvl="0" w:tplc="E6C6D83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00304B"/>
    <w:multiLevelType w:val="hybridMultilevel"/>
    <w:tmpl w:val="FE1ACA1E"/>
    <w:lvl w:ilvl="0" w:tplc="2E7EFC5C">
      <w:start w:val="1"/>
      <w:numFmt w:val="decimal"/>
      <w:lvlText w:val="%1."/>
      <w:lvlJc w:val="left"/>
      <w:pPr>
        <w:ind w:left="67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94" w:hanging="360"/>
      </w:pPr>
    </w:lvl>
    <w:lvl w:ilvl="2" w:tplc="0409001B" w:tentative="1">
      <w:start w:val="1"/>
      <w:numFmt w:val="lowerRoman"/>
      <w:lvlText w:val="%3."/>
      <w:lvlJc w:val="right"/>
      <w:pPr>
        <w:ind w:left="2114" w:hanging="180"/>
      </w:pPr>
    </w:lvl>
    <w:lvl w:ilvl="3" w:tplc="0409000F" w:tentative="1">
      <w:start w:val="1"/>
      <w:numFmt w:val="decimal"/>
      <w:lvlText w:val="%4."/>
      <w:lvlJc w:val="left"/>
      <w:pPr>
        <w:ind w:left="2834" w:hanging="360"/>
      </w:pPr>
    </w:lvl>
    <w:lvl w:ilvl="4" w:tplc="04090019" w:tentative="1">
      <w:start w:val="1"/>
      <w:numFmt w:val="lowerLetter"/>
      <w:lvlText w:val="%5."/>
      <w:lvlJc w:val="left"/>
      <w:pPr>
        <w:ind w:left="3554" w:hanging="360"/>
      </w:pPr>
    </w:lvl>
    <w:lvl w:ilvl="5" w:tplc="0409001B" w:tentative="1">
      <w:start w:val="1"/>
      <w:numFmt w:val="lowerRoman"/>
      <w:lvlText w:val="%6."/>
      <w:lvlJc w:val="right"/>
      <w:pPr>
        <w:ind w:left="4274" w:hanging="180"/>
      </w:pPr>
    </w:lvl>
    <w:lvl w:ilvl="6" w:tplc="0409000F" w:tentative="1">
      <w:start w:val="1"/>
      <w:numFmt w:val="decimal"/>
      <w:lvlText w:val="%7."/>
      <w:lvlJc w:val="left"/>
      <w:pPr>
        <w:ind w:left="4994" w:hanging="360"/>
      </w:pPr>
    </w:lvl>
    <w:lvl w:ilvl="7" w:tplc="04090019" w:tentative="1">
      <w:start w:val="1"/>
      <w:numFmt w:val="lowerLetter"/>
      <w:lvlText w:val="%8."/>
      <w:lvlJc w:val="left"/>
      <w:pPr>
        <w:ind w:left="5714" w:hanging="360"/>
      </w:pPr>
    </w:lvl>
    <w:lvl w:ilvl="8" w:tplc="040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8" w15:restartNumberingAfterBreak="0">
    <w:nsid w:val="5A93073F"/>
    <w:multiLevelType w:val="hybridMultilevel"/>
    <w:tmpl w:val="D6B224DA"/>
    <w:lvl w:ilvl="0" w:tplc="30F0C8DA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num w:numId="1" w16cid:durableId="165290489">
    <w:abstractNumId w:val="4"/>
  </w:num>
  <w:num w:numId="2" w16cid:durableId="1667004925">
    <w:abstractNumId w:val="6"/>
  </w:num>
  <w:num w:numId="3" w16cid:durableId="1325475842">
    <w:abstractNumId w:val="2"/>
  </w:num>
  <w:num w:numId="4" w16cid:durableId="34431594">
    <w:abstractNumId w:val="1"/>
  </w:num>
  <w:num w:numId="5" w16cid:durableId="1272055123">
    <w:abstractNumId w:val="3"/>
  </w:num>
  <w:num w:numId="6" w16cid:durableId="656148174">
    <w:abstractNumId w:val="8"/>
  </w:num>
  <w:num w:numId="7" w16cid:durableId="490027947">
    <w:abstractNumId w:val="5"/>
  </w:num>
  <w:num w:numId="8" w16cid:durableId="849566721">
    <w:abstractNumId w:val="0"/>
  </w:num>
  <w:num w:numId="9" w16cid:durableId="28130895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7D8"/>
    <w:rsid w:val="0000229D"/>
    <w:rsid w:val="000050B7"/>
    <w:rsid w:val="00013E0D"/>
    <w:rsid w:val="000162C2"/>
    <w:rsid w:val="00060BDA"/>
    <w:rsid w:val="00062D88"/>
    <w:rsid w:val="00090C0E"/>
    <w:rsid w:val="00090EEA"/>
    <w:rsid w:val="00097E68"/>
    <w:rsid w:val="000B3C7D"/>
    <w:rsid w:val="000C579E"/>
    <w:rsid w:val="000D1D97"/>
    <w:rsid w:val="000D4ABF"/>
    <w:rsid w:val="000D7B99"/>
    <w:rsid w:val="000F61B7"/>
    <w:rsid w:val="00101727"/>
    <w:rsid w:val="001307F1"/>
    <w:rsid w:val="001375FD"/>
    <w:rsid w:val="001410E9"/>
    <w:rsid w:val="00150838"/>
    <w:rsid w:val="00157130"/>
    <w:rsid w:val="0017628F"/>
    <w:rsid w:val="001A0FB8"/>
    <w:rsid w:val="001B192B"/>
    <w:rsid w:val="001D23BE"/>
    <w:rsid w:val="001E0EAB"/>
    <w:rsid w:val="001F644D"/>
    <w:rsid w:val="002037EC"/>
    <w:rsid w:val="00214300"/>
    <w:rsid w:val="0024571D"/>
    <w:rsid w:val="002508E6"/>
    <w:rsid w:val="00252C52"/>
    <w:rsid w:val="002552B4"/>
    <w:rsid w:val="00257CE0"/>
    <w:rsid w:val="0027672A"/>
    <w:rsid w:val="002B3BD4"/>
    <w:rsid w:val="002C6106"/>
    <w:rsid w:val="002C7E3C"/>
    <w:rsid w:val="00322E3B"/>
    <w:rsid w:val="00324F93"/>
    <w:rsid w:val="00352825"/>
    <w:rsid w:val="00352BCA"/>
    <w:rsid w:val="0035544A"/>
    <w:rsid w:val="00360112"/>
    <w:rsid w:val="003659FD"/>
    <w:rsid w:val="00375D3E"/>
    <w:rsid w:val="0038633E"/>
    <w:rsid w:val="0038653A"/>
    <w:rsid w:val="003C532A"/>
    <w:rsid w:val="003D1BDB"/>
    <w:rsid w:val="003E3DC6"/>
    <w:rsid w:val="003E3ED0"/>
    <w:rsid w:val="003F31A6"/>
    <w:rsid w:val="004057C1"/>
    <w:rsid w:val="00410E7D"/>
    <w:rsid w:val="00413657"/>
    <w:rsid w:val="00427981"/>
    <w:rsid w:val="00450AC4"/>
    <w:rsid w:val="00461AE3"/>
    <w:rsid w:val="0046286B"/>
    <w:rsid w:val="00484464"/>
    <w:rsid w:val="00487208"/>
    <w:rsid w:val="004A271C"/>
    <w:rsid w:val="004D40C1"/>
    <w:rsid w:val="004E57D8"/>
    <w:rsid w:val="004F6598"/>
    <w:rsid w:val="0050082B"/>
    <w:rsid w:val="00511887"/>
    <w:rsid w:val="005324BB"/>
    <w:rsid w:val="00536DF1"/>
    <w:rsid w:val="00541AA8"/>
    <w:rsid w:val="00551B4C"/>
    <w:rsid w:val="00560AC7"/>
    <w:rsid w:val="00586871"/>
    <w:rsid w:val="005D43C8"/>
    <w:rsid w:val="00601040"/>
    <w:rsid w:val="00625888"/>
    <w:rsid w:val="006358F0"/>
    <w:rsid w:val="0065314F"/>
    <w:rsid w:val="00653F09"/>
    <w:rsid w:val="00671D0A"/>
    <w:rsid w:val="00676592"/>
    <w:rsid w:val="00676D79"/>
    <w:rsid w:val="00681AA8"/>
    <w:rsid w:val="006B3ADC"/>
    <w:rsid w:val="006C23E1"/>
    <w:rsid w:val="006D1F30"/>
    <w:rsid w:val="006F3855"/>
    <w:rsid w:val="00725C32"/>
    <w:rsid w:val="00736E38"/>
    <w:rsid w:val="007756C8"/>
    <w:rsid w:val="00783BEC"/>
    <w:rsid w:val="00791692"/>
    <w:rsid w:val="007A6CBC"/>
    <w:rsid w:val="007B2204"/>
    <w:rsid w:val="007C4528"/>
    <w:rsid w:val="007D0E85"/>
    <w:rsid w:val="007E0555"/>
    <w:rsid w:val="00803AA0"/>
    <w:rsid w:val="008121EF"/>
    <w:rsid w:val="00821CA5"/>
    <w:rsid w:val="00836FAE"/>
    <w:rsid w:val="00837BF0"/>
    <w:rsid w:val="008619BC"/>
    <w:rsid w:val="00873FCF"/>
    <w:rsid w:val="0088565B"/>
    <w:rsid w:val="008B2DB7"/>
    <w:rsid w:val="008D4A9E"/>
    <w:rsid w:val="008D5834"/>
    <w:rsid w:val="008E15A7"/>
    <w:rsid w:val="008F1075"/>
    <w:rsid w:val="008F51F8"/>
    <w:rsid w:val="0094513D"/>
    <w:rsid w:val="0094756D"/>
    <w:rsid w:val="0095079D"/>
    <w:rsid w:val="009603A0"/>
    <w:rsid w:val="009709BC"/>
    <w:rsid w:val="00976CA8"/>
    <w:rsid w:val="00980934"/>
    <w:rsid w:val="0098734E"/>
    <w:rsid w:val="00990847"/>
    <w:rsid w:val="009C0DFD"/>
    <w:rsid w:val="009C3256"/>
    <w:rsid w:val="009D0503"/>
    <w:rsid w:val="009E6279"/>
    <w:rsid w:val="009F1643"/>
    <w:rsid w:val="00A06607"/>
    <w:rsid w:val="00A257C4"/>
    <w:rsid w:val="00A4037C"/>
    <w:rsid w:val="00A45CF8"/>
    <w:rsid w:val="00A46447"/>
    <w:rsid w:val="00A521E6"/>
    <w:rsid w:val="00A65BC4"/>
    <w:rsid w:val="00AA2682"/>
    <w:rsid w:val="00AC2525"/>
    <w:rsid w:val="00AD7B2E"/>
    <w:rsid w:val="00AE0E45"/>
    <w:rsid w:val="00AF2944"/>
    <w:rsid w:val="00AF74CD"/>
    <w:rsid w:val="00B00A83"/>
    <w:rsid w:val="00B30F10"/>
    <w:rsid w:val="00B37E9D"/>
    <w:rsid w:val="00B44268"/>
    <w:rsid w:val="00B46ACA"/>
    <w:rsid w:val="00B5107E"/>
    <w:rsid w:val="00B56A7C"/>
    <w:rsid w:val="00B7413F"/>
    <w:rsid w:val="00B842C5"/>
    <w:rsid w:val="00B96A0C"/>
    <w:rsid w:val="00BA21D9"/>
    <w:rsid w:val="00BA2E5D"/>
    <w:rsid w:val="00BB10F8"/>
    <w:rsid w:val="00BD0DF7"/>
    <w:rsid w:val="00BD130A"/>
    <w:rsid w:val="00BE5B0B"/>
    <w:rsid w:val="00BF0059"/>
    <w:rsid w:val="00BF6B74"/>
    <w:rsid w:val="00C16370"/>
    <w:rsid w:val="00C23190"/>
    <w:rsid w:val="00C31227"/>
    <w:rsid w:val="00C4629A"/>
    <w:rsid w:val="00C51919"/>
    <w:rsid w:val="00C63D26"/>
    <w:rsid w:val="00C86D6E"/>
    <w:rsid w:val="00C90D1D"/>
    <w:rsid w:val="00CA00FA"/>
    <w:rsid w:val="00CA2B6A"/>
    <w:rsid w:val="00CB71ED"/>
    <w:rsid w:val="00CD27BA"/>
    <w:rsid w:val="00D0485F"/>
    <w:rsid w:val="00D14F16"/>
    <w:rsid w:val="00D21255"/>
    <w:rsid w:val="00D27BEE"/>
    <w:rsid w:val="00D33A06"/>
    <w:rsid w:val="00D450D9"/>
    <w:rsid w:val="00D60689"/>
    <w:rsid w:val="00D71138"/>
    <w:rsid w:val="00DD0745"/>
    <w:rsid w:val="00DD2BF7"/>
    <w:rsid w:val="00DD6BEC"/>
    <w:rsid w:val="00DE53CA"/>
    <w:rsid w:val="00DF66E1"/>
    <w:rsid w:val="00E003E6"/>
    <w:rsid w:val="00E20797"/>
    <w:rsid w:val="00E212F8"/>
    <w:rsid w:val="00E3224A"/>
    <w:rsid w:val="00E352C2"/>
    <w:rsid w:val="00E461AE"/>
    <w:rsid w:val="00E61E67"/>
    <w:rsid w:val="00EB2B86"/>
    <w:rsid w:val="00EC7D73"/>
    <w:rsid w:val="00ED6D20"/>
    <w:rsid w:val="00F006A4"/>
    <w:rsid w:val="00F35AFA"/>
    <w:rsid w:val="00F37471"/>
    <w:rsid w:val="00F7003B"/>
    <w:rsid w:val="00F7234C"/>
    <w:rsid w:val="00F93F7F"/>
    <w:rsid w:val="00FD0AE7"/>
    <w:rsid w:val="00FD543C"/>
    <w:rsid w:val="00FE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,"/>
  <w14:docId w14:val="1708AED4"/>
  <w15:docId w15:val="{303311E5-D149-4DC9-B7ED-5D2BD0F42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D0485F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4E57D8"/>
    <w:pPr>
      <w:ind w:left="720"/>
      <w:contextualSpacing/>
    </w:pPr>
  </w:style>
  <w:style w:type="table" w:styleId="LiBang">
    <w:name w:val="Table Grid"/>
    <w:basedOn w:val="BangThngthng"/>
    <w:uiPriority w:val="59"/>
    <w:rsid w:val="00A65B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ngchuthich">
    <w:name w:val="Balloon Text"/>
    <w:basedOn w:val="Binhthng"/>
    <w:link w:val="BongchuthichChar"/>
    <w:uiPriority w:val="99"/>
    <w:semiHidden/>
    <w:unhideWhenUsed/>
    <w:rsid w:val="00A52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52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1302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Gia Vuong</cp:lastModifiedBy>
  <cp:revision>135</cp:revision>
  <cp:lastPrinted>2022-05-20T03:18:00Z</cp:lastPrinted>
  <dcterms:created xsi:type="dcterms:W3CDTF">2016-06-29T07:12:00Z</dcterms:created>
  <dcterms:modified xsi:type="dcterms:W3CDTF">2022-05-20T03:18:00Z</dcterms:modified>
</cp:coreProperties>
</file>